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9EE" w:rsidRPr="00D965D0" w:rsidRDefault="00DF59EE" w:rsidP="00D965D0">
      <w:pPr>
        <w:spacing w:line="360" w:lineRule="auto"/>
        <w:jc w:val="right"/>
        <w:rPr>
          <w:rFonts w:ascii="Times New Roman" w:hAnsi="Times New Roman"/>
          <w:smallCaps/>
        </w:rPr>
      </w:pPr>
      <w:bookmarkStart w:id="0" w:name="_GoBack"/>
      <w:bookmarkEnd w:id="0"/>
      <w:r w:rsidRPr="00D965D0">
        <w:rPr>
          <w:rFonts w:ascii="Times New Roman" w:hAnsi="Times New Roman"/>
          <w:smallCaps/>
        </w:rPr>
        <w:t>Columbia Law School</w:t>
      </w:r>
    </w:p>
    <w:p w:rsidR="00DF59EE" w:rsidRPr="00D965D0" w:rsidRDefault="00DF59EE" w:rsidP="00D965D0">
      <w:pPr>
        <w:pBdr>
          <w:bottom w:val="single" w:sz="12" w:space="1" w:color="auto"/>
        </w:pBdr>
        <w:spacing w:line="360" w:lineRule="auto"/>
        <w:rPr>
          <w:rFonts w:ascii="Times New Roman" w:hAnsi="Times New Roman"/>
          <w:smallCaps/>
        </w:rPr>
      </w:pPr>
      <w:r w:rsidRPr="00D965D0">
        <w:rPr>
          <w:rFonts w:ascii="Times New Roman" w:hAnsi="Times New Roman"/>
          <w:smallCaps/>
        </w:rPr>
        <w:t>Wor</w:t>
      </w:r>
      <w:r>
        <w:rPr>
          <w:rFonts w:ascii="Times New Roman" w:hAnsi="Times New Roman"/>
          <w:smallCaps/>
        </w:rPr>
        <w:t>king Paper</w:t>
      </w:r>
      <w:r>
        <w:rPr>
          <w:rFonts w:ascii="Times New Roman" w:hAnsi="Times New Roman"/>
          <w:smallCaps/>
        </w:rPr>
        <w:tab/>
      </w:r>
      <w:r>
        <w:rPr>
          <w:rFonts w:ascii="Times New Roman" w:hAnsi="Times New Roman"/>
          <w:smallCaps/>
        </w:rPr>
        <w:tab/>
      </w:r>
      <w:r>
        <w:rPr>
          <w:rFonts w:ascii="Times New Roman" w:hAnsi="Times New Roman"/>
          <w:smallCaps/>
        </w:rPr>
        <w:tab/>
      </w:r>
      <w:r>
        <w:rPr>
          <w:rFonts w:ascii="Times New Roman" w:hAnsi="Times New Roman"/>
          <w:smallCaps/>
        </w:rPr>
        <w:tab/>
        <w:t xml:space="preserve">        </w:t>
      </w:r>
      <w:r>
        <w:rPr>
          <w:rFonts w:ascii="Times New Roman" w:hAnsi="Times New Roman"/>
          <w:smallCaps/>
        </w:rPr>
        <w:tab/>
        <w:t xml:space="preserve"> </w:t>
      </w:r>
      <w:r w:rsidRPr="00D965D0">
        <w:rPr>
          <w:rFonts w:ascii="Times New Roman" w:hAnsi="Times New Roman"/>
          <w:smallCaps/>
        </w:rPr>
        <w:t>Center For Climate Change Law</w:t>
      </w:r>
    </w:p>
    <w:p w:rsidR="00DF59EE" w:rsidRPr="00D965D0" w:rsidRDefault="00DF59EE" w:rsidP="00BD60DB">
      <w:pPr>
        <w:spacing w:line="360" w:lineRule="auto"/>
        <w:rPr>
          <w:rFonts w:ascii="Times New Roman" w:hAnsi="Times New Roman"/>
          <w:b/>
        </w:rPr>
      </w:pPr>
    </w:p>
    <w:p w:rsidR="00DF59EE" w:rsidRPr="00BD60DB" w:rsidRDefault="00DF59EE" w:rsidP="00BD60DB">
      <w:pPr>
        <w:spacing w:line="360" w:lineRule="auto"/>
        <w:jc w:val="center"/>
        <w:rPr>
          <w:rFonts w:ascii="Times New Roman" w:hAnsi="Times New Roman"/>
          <w:smallCaps/>
          <w:sz w:val="32"/>
          <w:szCs w:val="32"/>
        </w:rPr>
      </w:pPr>
      <w:r w:rsidRPr="00D965D0">
        <w:rPr>
          <w:rFonts w:ascii="Times New Roman" w:hAnsi="Times New Roman"/>
          <w:smallCaps/>
          <w:sz w:val="32"/>
          <w:szCs w:val="32"/>
        </w:rPr>
        <w:t xml:space="preserve">Municipal Green Building Ordinances In the </w:t>
      </w:r>
      <w:r>
        <w:rPr>
          <w:rFonts w:ascii="Times New Roman" w:hAnsi="Times New Roman"/>
          <w:smallCaps/>
          <w:sz w:val="32"/>
          <w:szCs w:val="32"/>
        </w:rPr>
        <w:t>U.S.</w:t>
      </w:r>
    </w:p>
    <w:p w:rsidR="00DF59EE" w:rsidRPr="00D965D0" w:rsidRDefault="00DF59EE" w:rsidP="00BD60DB">
      <w:pPr>
        <w:jc w:val="center"/>
        <w:rPr>
          <w:rFonts w:ascii="Times New Roman" w:hAnsi="Times New Roman"/>
        </w:rPr>
      </w:pPr>
      <w:r w:rsidRPr="00D965D0">
        <w:rPr>
          <w:rFonts w:ascii="Times New Roman" w:hAnsi="Times New Roman"/>
        </w:rPr>
        <w:t>Marne Sussman</w:t>
      </w:r>
    </w:p>
    <w:p w:rsidR="00DF59EE" w:rsidRPr="00D965D0" w:rsidRDefault="00DF59EE" w:rsidP="00BD60DB">
      <w:pPr>
        <w:jc w:val="center"/>
        <w:rPr>
          <w:rFonts w:ascii="Times New Roman" w:hAnsi="Times New Roman"/>
        </w:rPr>
      </w:pPr>
      <w:r w:rsidRPr="00D965D0">
        <w:rPr>
          <w:rFonts w:ascii="Times New Roman" w:hAnsi="Times New Roman"/>
        </w:rPr>
        <w:t>January 2010</w:t>
      </w:r>
    </w:p>
    <w:p w:rsidR="00DF59EE" w:rsidRPr="00D965D0" w:rsidRDefault="00DF59EE" w:rsidP="00D965D0">
      <w:pPr>
        <w:spacing w:line="360" w:lineRule="auto"/>
        <w:jc w:val="center"/>
        <w:rPr>
          <w:rFonts w:ascii="Times New Roman" w:hAnsi="Times New Roman"/>
          <w:b/>
        </w:rPr>
      </w:pPr>
    </w:p>
    <w:p w:rsidR="00DF59EE" w:rsidRPr="00D965D0" w:rsidRDefault="00DF59EE" w:rsidP="00BD60DB">
      <w:pPr>
        <w:spacing w:line="360" w:lineRule="auto"/>
        <w:jc w:val="center"/>
        <w:rPr>
          <w:rFonts w:ascii="Times New Roman" w:hAnsi="Times New Roman"/>
        </w:rPr>
      </w:pPr>
      <w:r w:rsidRPr="00D965D0">
        <w:rPr>
          <w:rFonts w:ascii="Times New Roman" w:hAnsi="Times New Roman"/>
        </w:rPr>
        <w:t>Executive Summary</w:t>
      </w:r>
    </w:p>
    <w:p w:rsidR="00DF59EE" w:rsidRPr="00BD60DB" w:rsidRDefault="00DF59EE" w:rsidP="00C07860">
      <w:pPr>
        <w:spacing w:line="360" w:lineRule="auto"/>
        <w:rPr>
          <w:rFonts w:ascii="Times New Roman" w:hAnsi="Times New Roman"/>
          <w:i/>
        </w:rPr>
      </w:pPr>
      <w:r>
        <w:rPr>
          <w:rFonts w:ascii="Times New Roman" w:hAnsi="Times New Roman"/>
          <w:i/>
        </w:rPr>
        <w:t>N</w:t>
      </w:r>
      <w:r w:rsidRPr="00BD60DB">
        <w:rPr>
          <w:rFonts w:ascii="Times New Roman" w:hAnsi="Times New Roman"/>
          <w:i/>
        </w:rPr>
        <w:t xml:space="preserve">umerous </w:t>
      </w:r>
      <w:r>
        <w:rPr>
          <w:rFonts w:ascii="Times New Roman" w:hAnsi="Times New Roman"/>
          <w:i/>
        </w:rPr>
        <w:t xml:space="preserve">municipalities in the U.S. have created </w:t>
      </w:r>
      <w:r w:rsidRPr="00BD60DB">
        <w:rPr>
          <w:rFonts w:ascii="Times New Roman" w:hAnsi="Times New Roman"/>
          <w:i/>
        </w:rPr>
        <w:t xml:space="preserve">green building ordinances </w:t>
      </w:r>
      <w:r>
        <w:rPr>
          <w:rFonts w:ascii="Times New Roman" w:hAnsi="Times New Roman"/>
          <w:i/>
        </w:rPr>
        <w:t>over</w:t>
      </w:r>
      <w:r w:rsidRPr="00BD60DB">
        <w:rPr>
          <w:rFonts w:ascii="Times New Roman" w:hAnsi="Times New Roman"/>
          <w:i/>
        </w:rPr>
        <w:t xml:space="preserve"> the past few years.</w:t>
      </w:r>
      <w:r>
        <w:rPr>
          <w:rFonts w:ascii="Times New Roman" w:hAnsi="Times New Roman"/>
          <w:i/>
        </w:rPr>
        <w:t xml:space="preserve"> These ordinances are cataloged and examined in the municipal green building ordinance spreadsheets on the website of the Center for Climate Change Law.</w:t>
      </w:r>
      <w:r w:rsidRPr="00BD60DB">
        <w:rPr>
          <w:rFonts w:ascii="Times New Roman" w:hAnsi="Times New Roman"/>
          <w:i/>
        </w:rPr>
        <w:t xml:space="preserve"> To better understand the decisions that need to be made in developing a model green building ordinance, this </w:t>
      </w:r>
      <w:r>
        <w:rPr>
          <w:rFonts w:ascii="Times New Roman" w:hAnsi="Times New Roman"/>
          <w:i/>
        </w:rPr>
        <w:t>paper</w:t>
      </w:r>
      <w:r w:rsidRPr="00BD60DB">
        <w:rPr>
          <w:rFonts w:ascii="Times New Roman" w:hAnsi="Times New Roman"/>
          <w:i/>
        </w:rPr>
        <w:t xml:space="preserve"> discusses the different choices made by the municipalities that </w:t>
      </w:r>
      <w:r>
        <w:rPr>
          <w:rFonts w:ascii="Times New Roman" w:hAnsi="Times New Roman"/>
          <w:i/>
        </w:rPr>
        <w:t>developed</w:t>
      </w:r>
      <w:r w:rsidRPr="00BD60DB">
        <w:rPr>
          <w:rFonts w:ascii="Times New Roman" w:hAnsi="Times New Roman"/>
          <w:i/>
        </w:rPr>
        <w:t xml:space="preserve"> the ordinances</w:t>
      </w:r>
      <w:r>
        <w:rPr>
          <w:rFonts w:ascii="Times New Roman" w:hAnsi="Times New Roman"/>
          <w:i/>
        </w:rPr>
        <w:t xml:space="preserve"> identified in the spreadsheets</w:t>
      </w:r>
      <w:r w:rsidRPr="00BD60DB">
        <w:rPr>
          <w:rFonts w:ascii="Times New Roman" w:hAnsi="Times New Roman"/>
          <w:i/>
        </w:rPr>
        <w:t xml:space="preserve"> and notes areas of </w:t>
      </w:r>
      <w:r>
        <w:rPr>
          <w:rFonts w:ascii="Times New Roman" w:hAnsi="Times New Roman"/>
          <w:i/>
        </w:rPr>
        <w:t>consensus among municipalities.</w:t>
      </w:r>
    </w:p>
    <w:p w:rsidR="00DF59EE" w:rsidRPr="00BD60DB" w:rsidRDefault="00DF59EE" w:rsidP="00D965D0">
      <w:pPr>
        <w:pBdr>
          <w:bottom w:val="single" w:sz="12" w:space="1" w:color="auto"/>
        </w:pBdr>
        <w:spacing w:line="360" w:lineRule="auto"/>
        <w:rPr>
          <w:rFonts w:ascii="Times New Roman" w:hAnsi="Times New Roman"/>
          <w:i/>
        </w:rPr>
      </w:pPr>
    </w:p>
    <w:p w:rsidR="00DF59EE" w:rsidRPr="00D965D0" w:rsidRDefault="00DF59EE" w:rsidP="00D965D0">
      <w:pPr>
        <w:spacing w:line="360" w:lineRule="auto"/>
        <w:rPr>
          <w:rFonts w:ascii="Times New Roman" w:hAnsi="Times New Roman"/>
          <w:b/>
        </w:rPr>
      </w:pPr>
    </w:p>
    <w:p w:rsidR="00DF59EE" w:rsidRPr="00BD60DB" w:rsidRDefault="00DF59EE" w:rsidP="00D965D0">
      <w:pPr>
        <w:spacing w:line="360" w:lineRule="auto"/>
        <w:rPr>
          <w:rFonts w:ascii="Times New Roman" w:hAnsi="Times New Roman"/>
          <w:b/>
        </w:rPr>
      </w:pPr>
      <w:r w:rsidRPr="00D965D0">
        <w:rPr>
          <w:rFonts w:ascii="Times New Roman" w:hAnsi="Times New Roman"/>
          <w:b/>
        </w:rPr>
        <w:t>INTRODUCTION</w:t>
      </w:r>
    </w:p>
    <w:p w:rsidR="00DF59EE" w:rsidRPr="00BD60DB" w:rsidRDefault="00DF59EE" w:rsidP="00D965D0">
      <w:pPr>
        <w:spacing w:line="360" w:lineRule="auto"/>
        <w:rPr>
          <w:rFonts w:ascii="Times New Roman" w:hAnsi="Times New Roman"/>
        </w:rPr>
      </w:pPr>
      <w:r>
        <w:rPr>
          <w:rFonts w:ascii="Times New Roman" w:hAnsi="Times New Roman"/>
        </w:rPr>
        <w:t xml:space="preserve">The municipal green building ordinance </w:t>
      </w:r>
      <w:r w:rsidRPr="00BD60DB">
        <w:rPr>
          <w:rFonts w:ascii="Times New Roman" w:hAnsi="Times New Roman"/>
        </w:rPr>
        <w:t xml:space="preserve">spreadsheets cover 137 ordinances containing standards for public buildings and 61 ordinances containing standards for private construction. </w:t>
      </w:r>
    </w:p>
    <w:p w:rsidR="00DF59EE" w:rsidRDefault="00DF59EE" w:rsidP="00D965D0">
      <w:pPr>
        <w:spacing w:line="360" w:lineRule="auto"/>
        <w:rPr>
          <w:rFonts w:ascii="Times New Roman" w:hAnsi="Times New Roman"/>
          <w:i/>
        </w:rPr>
      </w:pPr>
    </w:p>
    <w:p w:rsidR="00DF59EE" w:rsidRPr="00D965D0" w:rsidRDefault="00DF59EE" w:rsidP="00D965D0">
      <w:pPr>
        <w:spacing w:line="360" w:lineRule="auto"/>
        <w:rPr>
          <w:rFonts w:ascii="Times New Roman" w:hAnsi="Times New Roman"/>
        </w:rPr>
      </w:pPr>
      <w:r w:rsidRPr="00D965D0">
        <w:rPr>
          <w:rFonts w:ascii="Times New Roman" w:hAnsi="Times New Roman"/>
        </w:rPr>
        <w:t>The elements of each green building ordinance are: the type of construction (new construction, subsequent construction, or existing buildings), the type of building (commercial, mixed-use, or residential), size threshold (in square feet), financial threshold (based on project cost), the standard required (LEED, Energy Star, Green Globes, GreenPoint Rated, or another standard and the level of the standard that is required), the version of the standard (LEED 2.2, LEED 3.0, or the most current version), additional requirements (such as energy reduction), special features (such as fees), exemptions, compliance process, and enforcement.</w:t>
      </w:r>
    </w:p>
    <w:p w:rsidR="00DF59EE" w:rsidRPr="00D965D0" w:rsidRDefault="00DF59EE" w:rsidP="00D965D0">
      <w:pPr>
        <w:spacing w:line="360" w:lineRule="auto"/>
        <w:rPr>
          <w:rFonts w:ascii="Times New Roman" w:hAnsi="Times New Roman"/>
        </w:rPr>
      </w:pPr>
    </w:p>
    <w:p w:rsidR="00DF59EE" w:rsidRPr="00D965D0" w:rsidRDefault="00DF59EE" w:rsidP="00C07860">
      <w:pPr>
        <w:spacing w:line="360" w:lineRule="auto"/>
        <w:rPr>
          <w:rFonts w:ascii="Times New Roman" w:hAnsi="Times New Roman"/>
        </w:rPr>
      </w:pPr>
      <w:r>
        <w:rPr>
          <w:rFonts w:ascii="Times New Roman" w:hAnsi="Times New Roman"/>
        </w:rPr>
        <w:lastRenderedPageBreak/>
        <w:t>Ordinances</w:t>
      </w:r>
      <w:r w:rsidRPr="00D965D0">
        <w:rPr>
          <w:rFonts w:ascii="Times New Roman" w:hAnsi="Times New Roman"/>
        </w:rPr>
        <w:t xml:space="preserve"> that apply to public construction </w:t>
      </w:r>
      <w:r>
        <w:rPr>
          <w:rFonts w:ascii="Times New Roman" w:hAnsi="Times New Roman"/>
        </w:rPr>
        <w:t>and ordinances</w:t>
      </w:r>
      <w:r w:rsidRPr="00D965D0">
        <w:rPr>
          <w:rFonts w:ascii="Times New Roman" w:hAnsi="Times New Roman"/>
        </w:rPr>
        <w:t xml:space="preserve"> that apply to private construction</w:t>
      </w:r>
      <w:r>
        <w:rPr>
          <w:rFonts w:ascii="Times New Roman" w:hAnsi="Times New Roman"/>
        </w:rPr>
        <w:t xml:space="preserve"> contain similar elements,</w:t>
      </w:r>
      <w:r w:rsidRPr="00D965D0">
        <w:rPr>
          <w:rFonts w:ascii="Times New Roman" w:hAnsi="Times New Roman"/>
        </w:rPr>
        <w:t xml:space="preserve"> but as the standards and require</w:t>
      </w:r>
      <w:r>
        <w:rPr>
          <w:rFonts w:ascii="Times New Roman" w:hAnsi="Times New Roman"/>
        </w:rPr>
        <w:t>ments tend to be different, the two types of ordinances</w:t>
      </w:r>
      <w:r w:rsidRPr="00D965D0">
        <w:rPr>
          <w:rFonts w:ascii="Times New Roman" w:hAnsi="Times New Roman"/>
        </w:rPr>
        <w:t xml:space="preserve"> are discussed below in separate sections. </w:t>
      </w:r>
    </w:p>
    <w:p w:rsidR="00DF59EE" w:rsidRPr="00D965D0" w:rsidRDefault="00DF59EE" w:rsidP="00D965D0">
      <w:pPr>
        <w:spacing w:line="360" w:lineRule="auto"/>
        <w:rPr>
          <w:rFonts w:ascii="Times New Roman" w:hAnsi="Times New Roman"/>
          <w:b/>
        </w:rPr>
      </w:pPr>
    </w:p>
    <w:p w:rsidR="00DF59EE" w:rsidRPr="00BD60DB" w:rsidRDefault="00DF59EE" w:rsidP="00D965D0">
      <w:pPr>
        <w:spacing w:line="360" w:lineRule="auto"/>
        <w:rPr>
          <w:rFonts w:ascii="Times New Roman" w:hAnsi="Times New Roman"/>
          <w:b/>
        </w:rPr>
      </w:pPr>
      <w:r w:rsidRPr="00D965D0">
        <w:rPr>
          <w:rFonts w:ascii="Times New Roman" w:hAnsi="Times New Roman"/>
          <w:b/>
        </w:rPr>
        <w:t>DISCUSSION</w:t>
      </w:r>
    </w:p>
    <w:p w:rsidR="00DF59EE" w:rsidRPr="002A0F31" w:rsidRDefault="00DF59EE" w:rsidP="00D965D0">
      <w:pPr>
        <w:spacing w:line="360" w:lineRule="auto"/>
        <w:rPr>
          <w:rFonts w:ascii="Times New Roman" w:hAnsi="Times New Roman"/>
          <w:b/>
        </w:rPr>
      </w:pPr>
      <w:r w:rsidRPr="00D965D0">
        <w:rPr>
          <w:rFonts w:ascii="Times New Roman" w:hAnsi="Times New Roman"/>
          <w:b/>
        </w:rPr>
        <w:t>Ordinances that apply to public buildings</w:t>
      </w:r>
    </w:p>
    <w:p w:rsidR="00DF59EE" w:rsidRPr="00D965D0" w:rsidRDefault="00DF59EE" w:rsidP="00D965D0">
      <w:pPr>
        <w:spacing w:line="360" w:lineRule="auto"/>
        <w:rPr>
          <w:rFonts w:ascii="Times New Roman" w:hAnsi="Times New Roman"/>
        </w:rPr>
      </w:pPr>
      <w:r w:rsidRPr="00D965D0">
        <w:rPr>
          <w:rFonts w:ascii="Times New Roman" w:hAnsi="Times New Roman"/>
        </w:rPr>
        <w:t xml:space="preserve">Ordinances that are classified as “public” either specifically state that they apply only to municipal buildings or apply to both public and private construction in regulating all commercial construction. Only 12 of the 137 ordinances are of the latter type and are included in both spreadsheets. The overwhelming consensus is to regulate public and private buildings through separate ordinances with higher standards for municipal construction than </w:t>
      </w:r>
      <w:r>
        <w:rPr>
          <w:rFonts w:ascii="Times New Roman" w:hAnsi="Times New Roman"/>
        </w:rPr>
        <w:t xml:space="preserve">for </w:t>
      </w:r>
      <w:r w:rsidRPr="00D965D0">
        <w:rPr>
          <w:rFonts w:ascii="Times New Roman" w:hAnsi="Times New Roman"/>
        </w:rPr>
        <w:t xml:space="preserve">private construction. The 12 municipalities with a general ordinance hold private construction to the same standard as municipal construction and thus tend to have a higher standard for private construction than do municipalities with separate ordinances. </w:t>
      </w:r>
    </w:p>
    <w:p w:rsidR="00DF59EE" w:rsidRPr="00D965D0" w:rsidRDefault="00DF59EE" w:rsidP="00D965D0">
      <w:pPr>
        <w:spacing w:line="360" w:lineRule="auto"/>
        <w:rPr>
          <w:rFonts w:ascii="Times New Roman" w:hAnsi="Times New Roman"/>
          <w:u w:val="single"/>
        </w:rPr>
      </w:pPr>
    </w:p>
    <w:p w:rsidR="00DF59EE" w:rsidRPr="00BD60DB" w:rsidRDefault="00DF59EE" w:rsidP="00D965D0">
      <w:pPr>
        <w:spacing w:line="360" w:lineRule="auto"/>
        <w:rPr>
          <w:rFonts w:ascii="Times New Roman" w:hAnsi="Times New Roman"/>
          <w:u w:val="single"/>
        </w:rPr>
      </w:pPr>
      <w:r w:rsidRPr="00D965D0">
        <w:rPr>
          <w:rFonts w:ascii="Times New Roman" w:hAnsi="Times New Roman"/>
          <w:u w:val="single"/>
        </w:rPr>
        <w:t>Type of construction</w:t>
      </w:r>
    </w:p>
    <w:p w:rsidR="00DF59EE" w:rsidRPr="00D965D0" w:rsidRDefault="00DF59EE" w:rsidP="00C07860">
      <w:pPr>
        <w:spacing w:line="360" w:lineRule="auto"/>
        <w:rPr>
          <w:rFonts w:ascii="Times New Roman" w:hAnsi="Times New Roman"/>
        </w:rPr>
      </w:pPr>
      <w:r w:rsidRPr="00D965D0">
        <w:rPr>
          <w:rFonts w:ascii="Times New Roman" w:hAnsi="Times New Roman"/>
        </w:rPr>
        <w:t xml:space="preserve">All of the public ordinances cover new construction and 40% of them only cover new construction. Sixty percent of the ordinances also cover subsequent construction and use different terms </w:t>
      </w:r>
      <w:r>
        <w:rPr>
          <w:rFonts w:ascii="Times New Roman" w:hAnsi="Times New Roman"/>
        </w:rPr>
        <w:t xml:space="preserve">to describe such construction </w:t>
      </w:r>
      <w:r w:rsidRPr="00D965D0">
        <w:rPr>
          <w:rFonts w:ascii="Times New Roman" w:hAnsi="Times New Roman"/>
        </w:rPr>
        <w:t>including renovations, remodels, additions, or modifications. By far the most common choice made by the municipalities is to have the ordinance cover new</w:t>
      </w:r>
      <w:r>
        <w:rPr>
          <w:rFonts w:ascii="Times New Roman" w:hAnsi="Times New Roman"/>
        </w:rPr>
        <w:t xml:space="preserve"> construction and renovations. </w:t>
      </w:r>
      <w:r w:rsidRPr="00D965D0">
        <w:rPr>
          <w:rFonts w:ascii="Times New Roman" w:hAnsi="Times New Roman"/>
        </w:rPr>
        <w:t>Only 6 of the ordinances cover existing buildings.</w:t>
      </w:r>
      <w:r>
        <w:rPr>
          <w:rStyle w:val="FootnoteReference"/>
          <w:rFonts w:ascii="Times New Roman" w:hAnsi="Times New Roman"/>
        </w:rPr>
        <w:footnoteReference w:id="1"/>
      </w:r>
      <w:r w:rsidRPr="00D965D0">
        <w:rPr>
          <w:rFonts w:ascii="Times New Roman" w:hAnsi="Times New Roman"/>
        </w:rPr>
        <w:t xml:space="preserve"> </w:t>
      </w:r>
    </w:p>
    <w:p w:rsidR="00DF59EE" w:rsidRPr="00D965D0" w:rsidRDefault="00DF59EE" w:rsidP="00D965D0">
      <w:pPr>
        <w:spacing w:line="360" w:lineRule="auto"/>
        <w:rPr>
          <w:rFonts w:ascii="Times New Roman" w:hAnsi="Times New Roman"/>
        </w:rPr>
      </w:pPr>
    </w:p>
    <w:p w:rsidR="00DF59EE" w:rsidRPr="00D965D0" w:rsidRDefault="00DF59EE" w:rsidP="00D965D0">
      <w:pPr>
        <w:spacing w:line="360" w:lineRule="auto"/>
        <w:rPr>
          <w:rFonts w:ascii="Times New Roman" w:hAnsi="Times New Roman"/>
        </w:rPr>
      </w:pPr>
      <w:r w:rsidRPr="00D965D0">
        <w:rPr>
          <w:rFonts w:ascii="Times New Roman" w:hAnsi="Times New Roman"/>
        </w:rPr>
        <w:t xml:space="preserve">In just under half of the ordinances that cover new construction and renovations, the renovation is specified as a major renovation while in the other half the ordinance applies to all renovations. </w:t>
      </w:r>
      <w:r>
        <w:rPr>
          <w:rFonts w:ascii="Times New Roman" w:hAnsi="Times New Roman"/>
        </w:rPr>
        <w:t>“</w:t>
      </w:r>
      <w:r w:rsidRPr="00D965D0">
        <w:rPr>
          <w:rFonts w:ascii="Times New Roman" w:hAnsi="Times New Roman"/>
        </w:rPr>
        <w:t>Major renovation</w:t>
      </w:r>
      <w:r>
        <w:rPr>
          <w:rFonts w:ascii="Times New Roman" w:hAnsi="Times New Roman"/>
        </w:rPr>
        <w:t>”</w:t>
      </w:r>
      <w:r w:rsidRPr="00D965D0">
        <w:rPr>
          <w:rFonts w:ascii="Times New Roman" w:hAnsi="Times New Roman"/>
        </w:rPr>
        <w:t xml:space="preserve"> is defined in only 30% of the ordinances that use </w:t>
      </w:r>
      <w:r>
        <w:rPr>
          <w:rFonts w:ascii="Times New Roman" w:hAnsi="Times New Roman"/>
        </w:rPr>
        <w:lastRenderedPageBreak/>
        <w:t>the term</w:t>
      </w:r>
      <w:r w:rsidRPr="00D965D0">
        <w:rPr>
          <w:rFonts w:ascii="Times New Roman" w:hAnsi="Times New Roman"/>
        </w:rPr>
        <w:t>. The consensus</w:t>
      </w:r>
      <w:r>
        <w:rPr>
          <w:rFonts w:ascii="Times New Roman" w:hAnsi="Times New Roman"/>
        </w:rPr>
        <w:t xml:space="preserve"> among the ordinances</w:t>
      </w:r>
      <w:r w:rsidRPr="00D965D0">
        <w:rPr>
          <w:rFonts w:ascii="Times New Roman" w:hAnsi="Times New Roman"/>
        </w:rPr>
        <w:t xml:space="preserve"> is to define major renovation as a renovation that alters or adds more than 50% of the gross floor area of a building.</w:t>
      </w:r>
      <w:r>
        <w:rPr>
          <w:rStyle w:val="FootnoteReference"/>
          <w:rFonts w:ascii="Times New Roman" w:hAnsi="Times New Roman"/>
        </w:rPr>
        <w:footnoteReference w:id="2"/>
      </w:r>
      <w:r w:rsidRPr="00D965D0">
        <w:rPr>
          <w:rFonts w:ascii="Times New Roman" w:hAnsi="Times New Roman"/>
        </w:rPr>
        <w:t xml:space="preserve"> </w:t>
      </w:r>
    </w:p>
    <w:p w:rsidR="00DF59EE" w:rsidRPr="00D965D0" w:rsidRDefault="00DF59EE" w:rsidP="00D965D0">
      <w:pPr>
        <w:spacing w:line="360" w:lineRule="auto"/>
        <w:rPr>
          <w:rFonts w:ascii="Times New Roman" w:hAnsi="Times New Roman"/>
        </w:rPr>
      </w:pPr>
    </w:p>
    <w:p w:rsidR="00DF59EE" w:rsidRPr="00BD60DB" w:rsidRDefault="00DF59EE" w:rsidP="00D965D0">
      <w:pPr>
        <w:spacing w:line="360" w:lineRule="auto"/>
        <w:rPr>
          <w:rFonts w:ascii="Times New Roman" w:hAnsi="Times New Roman"/>
          <w:u w:val="single"/>
        </w:rPr>
      </w:pPr>
      <w:r w:rsidRPr="00D965D0">
        <w:rPr>
          <w:rFonts w:ascii="Times New Roman" w:hAnsi="Times New Roman"/>
          <w:u w:val="single"/>
        </w:rPr>
        <w:t>Type of buildings</w:t>
      </w:r>
    </w:p>
    <w:p w:rsidR="00DF59EE" w:rsidRPr="00D965D0" w:rsidRDefault="00DF59EE" w:rsidP="00D965D0">
      <w:pPr>
        <w:spacing w:line="360" w:lineRule="auto"/>
        <w:rPr>
          <w:rFonts w:ascii="Times New Roman" w:hAnsi="Times New Roman"/>
        </w:rPr>
      </w:pPr>
      <w:r w:rsidRPr="00D965D0">
        <w:rPr>
          <w:rFonts w:ascii="Times New Roman" w:hAnsi="Times New Roman"/>
        </w:rPr>
        <w:t xml:space="preserve">A related decision is the type of buildings the ordinance will apply to. About half of the </w:t>
      </w:r>
      <w:r>
        <w:rPr>
          <w:rFonts w:ascii="Times New Roman" w:hAnsi="Times New Roman"/>
        </w:rPr>
        <w:t xml:space="preserve">public </w:t>
      </w:r>
      <w:r w:rsidRPr="00D965D0">
        <w:rPr>
          <w:rFonts w:ascii="Times New Roman" w:hAnsi="Times New Roman"/>
        </w:rPr>
        <w:t>ordinances simply describe the buildings as municipal, public, town, or city, buildings, projects, or facilities. The other half are more specific and include city owned buildings, city funded buildings, city sponsored or subsidized projects, or projects on city land. Some ordinances include a combination of the descriptions above to explain which buildings are included.</w:t>
      </w:r>
      <w:r>
        <w:rPr>
          <w:rStyle w:val="FootnoteReference"/>
          <w:rFonts w:ascii="Times New Roman" w:hAnsi="Times New Roman"/>
        </w:rPr>
        <w:footnoteReference w:id="3"/>
      </w:r>
      <w:r w:rsidRPr="00D965D0">
        <w:rPr>
          <w:rFonts w:ascii="Times New Roman" w:hAnsi="Times New Roman"/>
        </w:rPr>
        <w:t xml:space="preserve"> </w:t>
      </w:r>
    </w:p>
    <w:p w:rsidR="00DF59EE" w:rsidRPr="00D965D0" w:rsidRDefault="00DF59EE" w:rsidP="00D965D0">
      <w:pPr>
        <w:spacing w:line="360" w:lineRule="auto"/>
        <w:rPr>
          <w:rFonts w:ascii="Times New Roman" w:hAnsi="Times New Roman"/>
        </w:rPr>
      </w:pPr>
    </w:p>
    <w:p w:rsidR="00DF59EE" w:rsidRPr="00D965D0" w:rsidRDefault="00DF59EE" w:rsidP="00D965D0">
      <w:pPr>
        <w:spacing w:line="360" w:lineRule="auto"/>
        <w:rPr>
          <w:rFonts w:ascii="Times New Roman" w:hAnsi="Times New Roman"/>
        </w:rPr>
      </w:pPr>
      <w:r w:rsidRPr="00D965D0">
        <w:rPr>
          <w:rFonts w:ascii="Times New Roman" w:hAnsi="Times New Roman"/>
        </w:rPr>
        <w:t>A handful of the ordinances specifically limit applicability to occupied city buildings to avoid applying the ordinance to buildings such as g</w:t>
      </w:r>
      <w:r>
        <w:rPr>
          <w:rFonts w:ascii="Times New Roman" w:hAnsi="Times New Roman"/>
        </w:rPr>
        <w:t>arages and storage facilities.</w:t>
      </w:r>
      <w:r>
        <w:rPr>
          <w:rStyle w:val="FootnoteReference"/>
          <w:rFonts w:ascii="Times New Roman" w:hAnsi="Times New Roman"/>
        </w:rPr>
        <w:footnoteReference w:id="4"/>
      </w:r>
      <w:r w:rsidRPr="00D965D0">
        <w:rPr>
          <w:rFonts w:ascii="Times New Roman" w:hAnsi="Times New Roman"/>
        </w:rPr>
        <w:t xml:space="preserve"> Other ordinances exempt unoccupied city buildings from coverage in a separate exemption section.</w:t>
      </w:r>
      <w:r>
        <w:rPr>
          <w:rStyle w:val="FootnoteReference"/>
          <w:rFonts w:ascii="Times New Roman" w:hAnsi="Times New Roman"/>
        </w:rPr>
        <w:footnoteReference w:id="5"/>
      </w:r>
      <w:r w:rsidRPr="00D965D0">
        <w:rPr>
          <w:rFonts w:ascii="Times New Roman" w:hAnsi="Times New Roman"/>
        </w:rPr>
        <w:t xml:space="preserve"> </w:t>
      </w:r>
    </w:p>
    <w:p w:rsidR="00DF59EE" w:rsidRPr="00D965D0" w:rsidRDefault="00DF59EE" w:rsidP="00D965D0">
      <w:pPr>
        <w:spacing w:line="360" w:lineRule="auto"/>
        <w:rPr>
          <w:rFonts w:ascii="Times New Roman" w:hAnsi="Times New Roman"/>
        </w:rPr>
      </w:pPr>
    </w:p>
    <w:p w:rsidR="00DF59EE" w:rsidRPr="00D965D0" w:rsidRDefault="00DF59EE" w:rsidP="00D965D0">
      <w:pPr>
        <w:spacing w:line="360" w:lineRule="auto"/>
        <w:rPr>
          <w:rFonts w:ascii="Times New Roman" w:hAnsi="Times New Roman"/>
          <w:u w:val="single"/>
        </w:rPr>
      </w:pPr>
      <w:r w:rsidRPr="00D965D0">
        <w:rPr>
          <w:rFonts w:ascii="Times New Roman" w:hAnsi="Times New Roman"/>
          <w:u w:val="single"/>
        </w:rPr>
        <w:t>Size or financial thresholds</w:t>
      </w:r>
    </w:p>
    <w:p w:rsidR="00DF59EE" w:rsidRPr="00D965D0" w:rsidRDefault="00DF59EE" w:rsidP="002B18B1">
      <w:pPr>
        <w:spacing w:line="360" w:lineRule="auto"/>
        <w:rPr>
          <w:rFonts w:ascii="Times New Roman" w:hAnsi="Times New Roman"/>
        </w:rPr>
      </w:pPr>
      <w:r w:rsidRPr="00D965D0">
        <w:rPr>
          <w:rFonts w:ascii="Times New Roman" w:hAnsi="Times New Roman"/>
        </w:rPr>
        <w:t xml:space="preserve">Some municipalities only require buildings to meet </w:t>
      </w:r>
      <w:r>
        <w:rPr>
          <w:rFonts w:ascii="Times New Roman" w:hAnsi="Times New Roman"/>
        </w:rPr>
        <w:t>a green building</w:t>
      </w:r>
      <w:r w:rsidRPr="00D965D0">
        <w:rPr>
          <w:rFonts w:ascii="Times New Roman" w:hAnsi="Times New Roman"/>
        </w:rPr>
        <w:t xml:space="preserve"> standard if they are above certain size or financial thresholds. Seventy-four of the 137 ordinances have a minimum square footage requirement, 6 have a project cost requirement, 6 have both size and financial thresholds, and 4 require the building to meet either a size or financial threshold. A handful of the ordinances create multiple size categories with escalating standards for larger buildings.</w:t>
      </w:r>
      <w:r>
        <w:rPr>
          <w:rStyle w:val="FootnoteReference"/>
          <w:rFonts w:ascii="Times New Roman" w:hAnsi="Times New Roman"/>
        </w:rPr>
        <w:footnoteReference w:id="6"/>
      </w:r>
      <w:r w:rsidRPr="00D965D0">
        <w:rPr>
          <w:rFonts w:ascii="Times New Roman" w:hAnsi="Times New Roman"/>
        </w:rPr>
        <w:t xml:space="preserve"> </w:t>
      </w:r>
    </w:p>
    <w:p w:rsidR="00DF59EE" w:rsidRPr="00D965D0" w:rsidRDefault="00DF59EE" w:rsidP="00D965D0">
      <w:pPr>
        <w:spacing w:line="360" w:lineRule="auto"/>
        <w:rPr>
          <w:rFonts w:ascii="Times New Roman" w:hAnsi="Times New Roman"/>
        </w:rPr>
      </w:pPr>
    </w:p>
    <w:p w:rsidR="00DF59EE" w:rsidRPr="00D965D0" w:rsidRDefault="00DF59EE" w:rsidP="00D965D0">
      <w:pPr>
        <w:spacing w:line="360" w:lineRule="auto"/>
        <w:rPr>
          <w:rFonts w:ascii="Times New Roman" w:hAnsi="Times New Roman"/>
        </w:rPr>
      </w:pPr>
      <w:r w:rsidRPr="00D965D0">
        <w:rPr>
          <w:rFonts w:ascii="Times New Roman" w:hAnsi="Times New Roman"/>
        </w:rPr>
        <w:t xml:space="preserve">Among the ordinances with size thresholds, the square footage ranges from 500 to 50,000 with 5,000 being the overwhelming consensus. For the few ordinances with financial </w:t>
      </w:r>
      <w:r w:rsidRPr="00D965D0">
        <w:rPr>
          <w:rFonts w:ascii="Times New Roman" w:hAnsi="Times New Roman"/>
        </w:rPr>
        <w:lastRenderedPageBreak/>
        <w:t xml:space="preserve">thresholds, the amounts vary from $200,000 to $5 million, with $1 million being slightly more common. </w:t>
      </w:r>
    </w:p>
    <w:p w:rsidR="00DF59EE" w:rsidRPr="00D965D0" w:rsidRDefault="00DF59EE" w:rsidP="00D965D0">
      <w:pPr>
        <w:spacing w:line="360" w:lineRule="auto"/>
        <w:rPr>
          <w:rFonts w:ascii="Times New Roman" w:hAnsi="Times New Roman"/>
        </w:rPr>
      </w:pPr>
    </w:p>
    <w:p w:rsidR="00DF59EE" w:rsidRPr="00D965D0" w:rsidRDefault="00DF59EE" w:rsidP="002B18B1">
      <w:pPr>
        <w:spacing w:line="360" w:lineRule="auto"/>
        <w:rPr>
          <w:rFonts w:ascii="Times New Roman" w:hAnsi="Times New Roman"/>
        </w:rPr>
      </w:pPr>
      <w:r w:rsidRPr="00D965D0">
        <w:rPr>
          <w:rFonts w:ascii="Times New Roman" w:hAnsi="Times New Roman"/>
        </w:rPr>
        <w:t>In short, most ordinance</w:t>
      </w:r>
      <w:r>
        <w:rPr>
          <w:rFonts w:ascii="Times New Roman" w:hAnsi="Times New Roman"/>
        </w:rPr>
        <w:t>s</w:t>
      </w:r>
      <w:r w:rsidRPr="00D965D0">
        <w:rPr>
          <w:rFonts w:ascii="Times New Roman" w:hAnsi="Times New Roman"/>
        </w:rPr>
        <w:t xml:space="preserve"> have a size thresh</w:t>
      </w:r>
      <w:r>
        <w:rPr>
          <w:rFonts w:ascii="Times New Roman" w:hAnsi="Times New Roman"/>
        </w:rPr>
        <w:t>old of 5,000 square feet, but this</w:t>
      </w:r>
      <w:r w:rsidRPr="00D965D0">
        <w:rPr>
          <w:rFonts w:ascii="Times New Roman" w:hAnsi="Times New Roman"/>
        </w:rPr>
        <w:t xml:space="preserve"> is not a clear consensus. </w:t>
      </w:r>
    </w:p>
    <w:p w:rsidR="00DF59EE" w:rsidRPr="00D965D0" w:rsidRDefault="00DF59EE" w:rsidP="00D965D0">
      <w:pPr>
        <w:spacing w:line="360" w:lineRule="auto"/>
        <w:rPr>
          <w:rFonts w:ascii="Times New Roman" w:hAnsi="Times New Roman"/>
        </w:rPr>
      </w:pPr>
    </w:p>
    <w:p w:rsidR="00DF59EE" w:rsidRPr="00D965D0" w:rsidRDefault="00DF59EE" w:rsidP="00D965D0">
      <w:pPr>
        <w:spacing w:line="360" w:lineRule="auto"/>
        <w:rPr>
          <w:rFonts w:ascii="Times New Roman" w:hAnsi="Times New Roman"/>
          <w:u w:val="single"/>
        </w:rPr>
      </w:pPr>
      <w:r w:rsidRPr="00D965D0">
        <w:rPr>
          <w:rFonts w:ascii="Times New Roman" w:hAnsi="Times New Roman"/>
          <w:u w:val="single"/>
        </w:rPr>
        <w:t>Standard</w:t>
      </w:r>
    </w:p>
    <w:p w:rsidR="00DF59EE" w:rsidRPr="00D965D0" w:rsidRDefault="00DF59EE" w:rsidP="00E87A01">
      <w:pPr>
        <w:spacing w:line="360" w:lineRule="auto"/>
        <w:rPr>
          <w:rFonts w:ascii="Times New Roman" w:hAnsi="Times New Roman"/>
        </w:rPr>
      </w:pPr>
      <w:r w:rsidRPr="00D965D0">
        <w:rPr>
          <w:rFonts w:ascii="Times New Roman" w:hAnsi="Times New Roman"/>
        </w:rPr>
        <w:t xml:space="preserve">The overwhelming consensus is to use LEED as the </w:t>
      </w:r>
      <w:r>
        <w:rPr>
          <w:rFonts w:ascii="Times New Roman" w:hAnsi="Times New Roman"/>
        </w:rPr>
        <w:t xml:space="preserve">applicable </w:t>
      </w:r>
      <w:r w:rsidRPr="00D965D0">
        <w:rPr>
          <w:rFonts w:ascii="Times New Roman" w:hAnsi="Times New Roman"/>
        </w:rPr>
        <w:t>green building standard, with LEED silver being t</w:t>
      </w:r>
      <w:r>
        <w:rPr>
          <w:rFonts w:ascii="Times New Roman" w:hAnsi="Times New Roman"/>
        </w:rPr>
        <w:t>he standard most often required</w:t>
      </w:r>
      <w:r w:rsidRPr="00D965D0">
        <w:rPr>
          <w:rFonts w:ascii="Times New Roman" w:hAnsi="Times New Roman"/>
        </w:rPr>
        <w:t xml:space="preserve">. Thirty-eight municipalities require LEED certified, 81 require LEED silver, 6 require LEED gold, 1 requires LEED platinum, and 6 require a certain number of points on a LEED checklist. </w:t>
      </w:r>
    </w:p>
    <w:p w:rsidR="00DF59EE" w:rsidRPr="00D965D0" w:rsidRDefault="00DF59EE" w:rsidP="00D965D0">
      <w:pPr>
        <w:spacing w:line="360" w:lineRule="auto"/>
        <w:rPr>
          <w:rFonts w:ascii="Times New Roman" w:hAnsi="Times New Roman"/>
        </w:rPr>
      </w:pPr>
    </w:p>
    <w:p w:rsidR="00DF59EE" w:rsidRPr="00D965D0" w:rsidRDefault="00DF59EE" w:rsidP="00E87A01">
      <w:pPr>
        <w:spacing w:line="360" w:lineRule="auto"/>
        <w:rPr>
          <w:rFonts w:ascii="Times New Roman" w:hAnsi="Times New Roman"/>
        </w:rPr>
      </w:pPr>
      <w:r w:rsidRPr="00D965D0">
        <w:rPr>
          <w:rFonts w:ascii="Times New Roman" w:hAnsi="Times New Roman"/>
        </w:rPr>
        <w:t>A few of the ordinances require escalating levels of LEED as the building size increases.</w:t>
      </w:r>
      <w:r>
        <w:rPr>
          <w:rStyle w:val="FootnoteReference"/>
          <w:rFonts w:ascii="Times New Roman" w:hAnsi="Times New Roman"/>
        </w:rPr>
        <w:footnoteReference w:id="7"/>
      </w:r>
      <w:r>
        <w:rPr>
          <w:rFonts w:ascii="Times New Roman" w:hAnsi="Times New Roman"/>
        </w:rPr>
        <w:t xml:space="preserve"> A handful also have phase-</w:t>
      </w:r>
      <w:r w:rsidRPr="00D965D0">
        <w:rPr>
          <w:rFonts w:ascii="Times New Roman" w:hAnsi="Times New Roman"/>
        </w:rPr>
        <w:t>in programs where the required LEED level is raised over time.</w:t>
      </w:r>
      <w:r>
        <w:rPr>
          <w:rStyle w:val="FootnoteReference"/>
          <w:rFonts w:ascii="Times New Roman" w:hAnsi="Times New Roman"/>
        </w:rPr>
        <w:footnoteReference w:id="8"/>
      </w:r>
      <w:r w:rsidRPr="00D965D0">
        <w:rPr>
          <w:rFonts w:ascii="Times New Roman" w:hAnsi="Times New Roman"/>
        </w:rPr>
        <w:t xml:space="preserve"> Sometimes multiple rating systems are used in conjunction with </w:t>
      </w:r>
      <w:r>
        <w:rPr>
          <w:rFonts w:ascii="Times New Roman" w:hAnsi="Times New Roman"/>
        </w:rPr>
        <w:t>one another</w:t>
      </w:r>
      <w:r w:rsidRPr="00D965D0">
        <w:rPr>
          <w:rFonts w:ascii="Times New Roman" w:hAnsi="Times New Roman"/>
        </w:rPr>
        <w:t>. In a few ordinances a building can either meet the LEED standard or another standard.</w:t>
      </w:r>
      <w:r>
        <w:rPr>
          <w:rStyle w:val="FootnoteReference"/>
          <w:rFonts w:ascii="Times New Roman" w:hAnsi="Times New Roman"/>
        </w:rPr>
        <w:footnoteReference w:id="9"/>
      </w:r>
      <w:r w:rsidRPr="00D965D0">
        <w:rPr>
          <w:rFonts w:ascii="Times New Roman" w:hAnsi="Times New Roman"/>
        </w:rPr>
        <w:t xml:space="preserve"> In another ordinance buildings must achieve both LEED silver certification and Energy Star status.</w:t>
      </w:r>
      <w:r>
        <w:rPr>
          <w:rStyle w:val="FootnoteReference"/>
          <w:rFonts w:ascii="Times New Roman" w:hAnsi="Times New Roman"/>
        </w:rPr>
        <w:footnoteReference w:id="10"/>
      </w:r>
      <w:r w:rsidRPr="00D965D0">
        <w:rPr>
          <w:rFonts w:ascii="Times New Roman" w:hAnsi="Times New Roman"/>
        </w:rPr>
        <w:t xml:space="preserve"> </w:t>
      </w:r>
    </w:p>
    <w:p w:rsidR="00DF59EE" w:rsidRPr="00D965D0" w:rsidRDefault="00DF59EE" w:rsidP="00D965D0">
      <w:pPr>
        <w:spacing w:line="360" w:lineRule="auto"/>
        <w:rPr>
          <w:rFonts w:ascii="Times New Roman" w:hAnsi="Times New Roman"/>
        </w:rPr>
      </w:pPr>
    </w:p>
    <w:p w:rsidR="00DF59EE" w:rsidRPr="00D965D0" w:rsidRDefault="00DF59EE" w:rsidP="00E87A01">
      <w:pPr>
        <w:spacing w:line="360" w:lineRule="auto"/>
        <w:rPr>
          <w:rFonts w:ascii="Times New Roman" w:hAnsi="Times New Roman"/>
        </w:rPr>
      </w:pPr>
      <w:r w:rsidRPr="00D965D0">
        <w:rPr>
          <w:rFonts w:ascii="Times New Roman" w:hAnsi="Times New Roman"/>
        </w:rPr>
        <w:t xml:space="preserve">A related </w:t>
      </w:r>
      <w:r>
        <w:rPr>
          <w:rFonts w:ascii="Times New Roman" w:hAnsi="Times New Roman"/>
        </w:rPr>
        <w:t>choice</w:t>
      </w:r>
      <w:r w:rsidRPr="00D965D0">
        <w:rPr>
          <w:rFonts w:ascii="Times New Roman" w:hAnsi="Times New Roman"/>
        </w:rPr>
        <w:t xml:space="preserve"> is whether to require certification by LEED or only to require enough points that certification would be possible. Almost 70% of the ordinances require third party certification even though this presents legal problems</w:t>
      </w:r>
      <w:r>
        <w:rPr>
          <w:rFonts w:ascii="Times New Roman" w:hAnsi="Times New Roman"/>
        </w:rPr>
        <w:t xml:space="preserve"> that will be explored in future Center for Climate Change Law papers</w:t>
      </w:r>
      <w:r w:rsidRPr="00D965D0">
        <w:rPr>
          <w:rFonts w:ascii="Times New Roman" w:hAnsi="Times New Roman"/>
        </w:rPr>
        <w:t>. Of the municipalities that do not require certification</w:t>
      </w:r>
      <w:r>
        <w:rPr>
          <w:rFonts w:ascii="Times New Roman" w:hAnsi="Times New Roman"/>
        </w:rPr>
        <w:t>,</w:t>
      </w:r>
      <w:r w:rsidRPr="00D965D0">
        <w:rPr>
          <w:rFonts w:ascii="Times New Roman" w:hAnsi="Times New Roman"/>
        </w:rPr>
        <w:t xml:space="preserve"> some specify this outright, while others state the standard in an unclear way by </w:t>
      </w:r>
      <w:r>
        <w:rPr>
          <w:rFonts w:ascii="Times New Roman" w:hAnsi="Times New Roman"/>
        </w:rPr>
        <w:t>using terms</w:t>
      </w:r>
      <w:r w:rsidRPr="00D965D0">
        <w:rPr>
          <w:rFonts w:ascii="Times New Roman" w:hAnsi="Times New Roman"/>
        </w:rPr>
        <w:t xml:space="preserve"> such as “LEED silver rating” or “LEED silver level”.</w:t>
      </w:r>
    </w:p>
    <w:p w:rsidR="00DF59EE" w:rsidRPr="00D965D0" w:rsidRDefault="00DF59EE" w:rsidP="00D965D0">
      <w:pPr>
        <w:spacing w:line="360" w:lineRule="auto"/>
        <w:rPr>
          <w:rFonts w:ascii="Times New Roman" w:hAnsi="Times New Roman"/>
        </w:rPr>
      </w:pPr>
    </w:p>
    <w:p w:rsidR="00DF59EE" w:rsidRPr="00BD60DB" w:rsidRDefault="00DF59EE" w:rsidP="00D965D0">
      <w:pPr>
        <w:spacing w:line="360" w:lineRule="auto"/>
        <w:rPr>
          <w:rFonts w:ascii="Times New Roman" w:hAnsi="Times New Roman"/>
          <w:u w:val="single"/>
        </w:rPr>
      </w:pPr>
      <w:r w:rsidRPr="00D965D0">
        <w:rPr>
          <w:rFonts w:ascii="Times New Roman" w:hAnsi="Times New Roman"/>
          <w:u w:val="single"/>
        </w:rPr>
        <w:t>Version of standard utilized</w:t>
      </w:r>
    </w:p>
    <w:p w:rsidR="00DF59EE" w:rsidRPr="00D965D0" w:rsidRDefault="00DF59EE" w:rsidP="004B2367">
      <w:pPr>
        <w:spacing w:line="360" w:lineRule="auto"/>
        <w:rPr>
          <w:rFonts w:ascii="Times New Roman" w:hAnsi="Times New Roman"/>
        </w:rPr>
      </w:pPr>
      <w:r w:rsidRPr="00D965D0">
        <w:rPr>
          <w:rFonts w:ascii="Times New Roman" w:hAnsi="Times New Roman"/>
        </w:rPr>
        <w:lastRenderedPageBreak/>
        <w:t xml:space="preserve">The vast majority of the ordinances do not specify which version of the green building standard is meant to apply leaving it unclear whether it is the version in existence when the ordinance was passed, or whether buildings will be held to the most recent version of the standard. Of the approximately 50 ordinances which do specify </w:t>
      </w:r>
      <w:r>
        <w:rPr>
          <w:rFonts w:ascii="Times New Roman" w:hAnsi="Times New Roman"/>
        </w:rPr>
        <w:t>a particular</w:t>
      </w:r>
      <w:r w:rsidRPr="00D965D0">
        <w:rPr>
          <w:rFonts w:ascii="Times New Roman" w:hAnsi="Times New Roman"/>
        </w:rPr>
        <w:t xml:space="preserve"> version of the standard, over half state </w:t>
      </w:r>
      <w:r>
        <w:rPr>
          <w:rFonts w:ascii="Times New Roman" w:hAnsi="Times New Roman"/>
        </w:rPr>
        <w:t xml:space="preserve">that </w:t>
      </w:r>
      <w:r w:rsidRPr="00D965D0">
        <w:rPr>
          <w:rFonts w:ascii="Times New Roman" w:hAnsi="Times New Roman"/>
        </w:rPr>
        <w:t xml:space="preserve">the most recent version applies even though this </w:t>
      </w:r>
      <w:r>
        <w:rPr>
          <w:rFonts w:ascii="Times New Roman" w:hAnsi="Times New Roman"/>
        </w:rPr>
        <w:t>creates legal problems. The remainder</w:t>
      </w:r>
      <w:r w:rsidRPr="00D965D0">
        <w:rPr>
          <w:rFonts w:ascii="Times New Roman" w:hAnsi="Times New Roman"/>
        </w:rPr>
        <w:t xml:space="preserve"> of the ordinances which specify </w:t>
      </w:r>
      <w:r>
        <w:rPr>
          <w:rFonts w:ascii="Times New Roman" w:hAnsi="Times New Roman"/>
        </w:rPr>
        <w:t>a</w:t>
      </w:r>
      <w:r w:rsidRPr="00D965D0">
        <w:rPr>
          <w:rFonts w:ascii="Times New Roman" w:hAnsi="Times New Roman"/>
        </w:rPr>
        <w:t xml:space="preserve"> version of LEED link the standard with specific versions, such as </w:t>
      </w:r>
      <w:r>
        <w:rPr>
          <w:rFonts w:ascii="Times New Roman" w:hAnsi="Times New Roman"/>
        </w:rPr>
        <w:t xml:space="preserve">LEED </w:t>
      </w:r>
      <w:r w:rsidRPr="00D965D0">
        <w:rPr>
          <w:rFonts w:ascii="Times New Roman" w:hAnsi="Times New Roman"/>
        </w:rPr>
        <w:t xml:space="preserve">2.2 or </w:t>
      </w:r>
      <w:r>
        <w:rPr>
          <w:rFonts w:ascii="Times New Roman" w:hAnsi="Times New Roman"/>
        </w:rPr>
        <w:t xml:space="preserve">LEED </w:t>
      </w:r>
      <w:r w:rsidRPr="00D965D0">
        <w:rPr>
          <w:rFonts w:ascii="Times New Roman" w:hAnsi="Times New Roman"/>
        </w:rPr>
        <w:t xml:space="preserve">2.0. </w:t>
      </w:r>
    </w:p>
    <w:p w:rsidR="00DF59EE" w:rsidRPr="00D965D0" w:rsidRDefault="00DF59EE" w:rsidP="00D965D0">
      <w:pPr>
        <w:spacing w:line="360" w:lineRule="auto"/>
        <w:rPr>
          <w:rFonts w:ascii="Times New Roman" w:hAnsi="Times New Roman"/>
        </w:rPr>
      </w:pPr>
    </w:p>
    <w:p w:rsidR="00DF59EE" w:rsidRPr="00D965D0" w:rsidRDefault="00DF59EE" w:rsidP="00D965D0">
      <w:pPr>
        <w:spacing w:line="360" w:lineRule="auto"/>
        <w:rPr>
          <w:rFonts w:ascii="Times New Roman" w:hAnsi="Times New Roman"/>
          <w:u w:val="single"/>
        </w:rPr>
      </w:pPr>
      <w:r w:rsidRPr="00D965D0">
        <w:rPr>
          <w:rFonts w:ascii="Times New Roman" w:hAnsi="Times New Roman"/>
          <w:u w:val="single"/>
        </w:rPr>
        <w:t>Additional requirements</w:t>
      </w:r>
    </w:p>
    <w:p w:rsidR="00DF59EE" w:rsidRPr="00D965D0" w:rsidRDefault="00DF59EE" w:rsidP="00D965D0">
      <w:pPr>
        <w:spacing w:line="360" w:lineRule="auto"/>
        <w:rPr>
          <w:rFonts w:ascii="Times New Roman" w:hAnsi="Times New Roman"/>
        </w:rPr>
      </w:pPr>
      <w:r w:rsidRPr="00D965D0">
        <w:rPr>
          <w:rFonts w:ascii="Times New Roman" w:hAnsi="Times New Roman"/>
        </w:rPr>
        <w:t xml:space="preserve">A handful of municipalities have requirements in addition to meeting the LEED standard to address problems specific to their area.  The most common additional </w:t>
      </w:r>
      <w:r>
        <w:rPr>
          <w:rFonts w:ascii="Times New Roman" w:hAnsi="Times New Roman"/>
        </w:rPr>
        <w:t>requirement</w:t>
      </w:r>
      <w:r w:rsidRPr="00D965D0">
        <w:rPr>
          <w:rFonts w:ascii="Times New Roman" w:hAnsi="Times New Roman"/>
        </w:rPr>
        <w:t xml:space="preserve"> is to require the building to reduce energy usage as compared to state or city code requirements or LEED baseline requirements.</w:t>
      </w:r>
      <w:r>
        <w:rPr>
          <w:rStyle w:val="FootnoteReference"/>
          <w:rFonts w:ascii="Times New Roman" w:hAnsi="Times New Roman"/>
        </w:rPr>
        <w:footnoteReference w:id="11"/>
      </w:r>
      <w:r w:rsidRPr="00D965D0">
        <w:rPr>
          <w:rFonts w:ascii="Times New Roman" w:hAnsi="Times New Roman"/>
        </w:rPr>
        <w:t xml:space="preserve"> </w:t>
      </w:r>
    </w:p>
    <w:p w:rsidR="00DF59EE" w:rsidRDefault="00DF59EE" w:rsidP="00D965D0">
      <w:pPr>
        <w:spacing w:line="360" w:lineRule="auto"/>
        <w:rPr>
          <w:rFonts w:ascii="Times New Roman" w:hAnsi="Times New Roman"/>
        </w:rPr>
      </w:pPr>
    </w:p>
    <w:p w:rsidR="00DF59EE" w:rsidRPr="00D965D0" w:rsidRDefault="00DF59EE" w:rsidP="004B2367">
      <w:pPr>
        <w:spacing w:line="360" w:lineRule="auto"/>
        <w:rPr>
          <w:rFonts w:ascii="Times New Roman" w:hAnsi="Times New Roman"/>
        </w:rPr>
      </w:pPr>
      <w:r w:rsidRPr="00D965D0">
        <w:rPr>
          <w:rFonts w:ascii="Times New Roman" w:hAnsi="Times New Roman"/>
        </w:rPr>
        <w:t>A handful of municipalities require specific actions to be taken or benchmarks to be met. For example, San Francisco requires the building to meet requirements relating to water and energy conservation, fluorescent lamp recycling, indoor air quality, storage of recyclables, and construction debris management.</w:t>
      </w:r>
      <w:r>
        <w:rPr>
          <w:rStyle w:val="FootnoteReference"/>
          <w:rFonts w:ascii="Times New Roman" w:hAnsi="Times New Roman"/>
        </w:rPr>
        <w:footnoteReference w:id="12"/>
      </w:r>
      <w:r w:rsidRPr="00D965D0">
        <w:rPr>
          <w:rFonts w:ascii="Times New Roman" w:hAnsi="Times New Roman"/>
        </w:rPr>
        <w:t xml:space="preserve"> A few ordinances require the building to achieve specific LEED credits or a certain number of points in different LEED sections in addition to meeting a </w:t>
      </w:r>
      <w:r>
        <w:rPr>
          <w:rFonts w:ascii="Times New Roman" w:hAnsi="Times New Roman"/>
        </w:rPr>
        <w:t>specified</w:t>
      </w:r>
      <w:r w:rsidRPr="00D965D0">
        <w:rPr>
          <w:rFonts w:ascii="Times New Roman" w:hAnsi="Times New Roman"/>
        </w:rPr>
        <w:t xml:space="preserve"> LEED standard.</w:t>
      </w:r>
      <w:r>
        <w:rPr>
          <w:rStyle w:val="FootnoteReference"/>
          <w:rFonts w:ascii="Times New Roman" w:hAnsi="Times New Roman"/>
        </w:rPr>
        <w:footnoteReference w:id="13"/>
      </w:r>
      <w:r w:rsidRPr="00D965D0">
        <w:rPr>
          <w:rFonts w:ascii="Times New Roman" w:hAnsi="Times New Roman"/>
        </w:rPr>
        <w:t xml:space="preserve"> </w:t>
      </w:r>
    </w:p>
    <w:p w:rsidR="00DF59EE" w:rsidRPr="00D965D0" w:rsidRDefault="00DF59EE" w:rsidP="00D965D0">
      <w:pPr>
        <w:spacing w:line="360" w:lineRule="auto"/>
        <w:rPr>
          <w:rFonts w:ascii="Times New Roman" w:hAnsi="Times New Roman"/>
        </w:rPr>
      </w:pPr>
    </w:p>
    <w:p w:rsidR="00DF59EE" w:rsidRPr="00D965D0" w:rsidRDefault="00DF59EE" w:rsidP="00D965D0">
      <w:pPr>
        <w:spacing w:line="360" w:lineRule="auto"/>
        <w:rPr>
          <w:rFonts w:ascii="Times New Roman" w:hAnsi="Times New Roman"/>
          <w:u w:val="single"/>
        </w:rPr>
      </w:pPr>
      <w:r w:rsidRPr="00D965D0">
        <w:rPr>
          <w:rFonts w:ascii="Times New Roman" w:hAnsi="Times New Roman"/>
          <w:u w:val="single"/>
        </w:rPr>
        <w:t>Special features</w:t>
      </w:r>
    </w:p>
    <w:p w:rsidR="00DF59EE" w:rsidRPr="00D965D0" w:rsidRDefault="00DF59EE" w:rsidP="00D965D0">
      <w:pPr>
        <w:spacing w:line="360" w:lineRule="auto"/>
        <w:rPr>
          <w:rFonts w:ascii="Times New Roman" w:hAnsi="Times New Roman"/>
        </w:rPr>
      </w:pPr>
      <w:r w:rsidRPr="00D965D0">
        <w:rPr>
          <w:rFonts w:ascii="Times New Roman" w:hAnsi="Times New Roman"/>
        </w:rPr>
        <w:t>A few ordinances require special fees to cover the municipality’s cost of green building review. These fees are included only in ordinances that cover all commercial and non-residential construction and apply to both public and private buildings</w:t>
      </w:r>
      <w:r>
        <w:rPr>
          <w:rFonts w:ascii="Times New Roman" w:hAnsi="Times New Roman"/>
        </w:rPr>
        <w:t>;</w:t>
      </w:r>
      <w:r w:rsidRPr="00D965D0">
        <w:rPr>
          <w:rFonts w:ascii="Times New Roman" w:hAnsi="Times New Roman"/>
        </w:rPr>
        <w:t xml:space="preserve"> thus they are discussed in the section below regarding special features of ordinances that apply to private buildings. </w:t>
      </w:r>
    </w:p>
    <w:p w:rsidR="00DF59EE" w:rsidRPr="00D965D0" w:rsidRDefault="00DF59EE" w:rsidP="00D965D0">
      <w:pPr>
        <w:spacing w:line="360" w:lineRule="auto"/>
        <w:rPr>
          <w:rFonts w:ascii="Times New Roman" w:hAnsi="Times New Roman"/>
        </w:rPr>
      </w:pPr>
    </w:p>
    <w:p w:rsidR="00DF59EE" w:rsidRPr="00D965D0" w:rsidRDefault="00DF59EE" w:rsidP="00D965D0">
      <w:pPr>
        <w:spacing w:line="360" w:lineRule="auto"/>
        <w:rPr>
          <w:rFonts w:ascii="Times New Roman" w:hAnsi="Times New Roman"/>
          <w:u w:val="single"/>
        </w:rPr>
      </w:pPr>
      <w:r w:rsidRPr="00D965D0">
        <w:rPr>
          <w:rFonts w:ascii="Times New Roman" w:hAnsi="Times New Roman"/>
          <w:u w:val="single"/>
        </w:rPr>
        <w:t>Exemptions</w:t>
      </w:r>
    </w:p>
    <w:p w:rsidR="00DF59EE" w:rsidRPr="00D965D0" w:rsidRDefault="00DF59EE" w:rsidP="00D965D0">
      <w:pPr>
        <w:spacing w:line="360" w:lineRule="auto"/>
        <w:rPr>
          <w:rFonts w:ascii="Times New Roman" w:hAnsi="Times New Roman"/>
        </w:rPr>
      </w:pPr>
      <w:r w:rsidRPr="00D965D0">
        <w:rPr>
          <w:rFonts w:ascii="Times New Roman" w:hAnsi="Times New Roman"/>
        </w:rPr>
        <w:t>Over half of the ordinances include some exemption with the most common being an exemption for hardship or infeasibility. These exemptions are not defined financially but are based on multiple factors including: the availability of markets for materials to be recycled, the availability of green building materials and technologies, the compatibility of green building requirements with other government requirements and building standards, and the lack of available green building consulting support.</w:t>
      </w:r>
      <w:r>
        <w:rPr>
          <w:rStyle w:val="FootnoteReference"/>
          <w:rFonts w:ascii="Times New Roman" w:hAnsi="Times New Roman"/>
        </w:rPr>
        <w:footnoteReference w:id="14"/>
      </w:r>
      <w:r w:rsidRPr="00D965D0">
        <w:rPr>
          <w:rFonts w:ascii="Times New Roman" w:hAnsi="Times New Roman"/>
        </w:rPr>
        <w:t xml:space="preserve"> </w:t>
      </w:r>
    </w:p>
    <w:p w:rsidR="00DF59EE" w:rsidRPr="00D965D0" w:rsidRDefault="00DF59EE" w:rsidP="00D965D0">
      <w:pPr>
        <w:spacing w:line="360" w:lineRule="auto"/>
        <w:rPr>
          <w:rFonts w:ascii="Times New Roman" w:hAnsi="Times New Roman"/>
        </w:rPr>
      </w:pPr>
    </w:p>
    <w:p w:rsidR="00DF59EE" w:rsidRPr="00D965D0" w:rsidRDefault="00DF59EE" w:rsidP="00D965D0">
      <w:pPr>
        <w:spacing w:line="360" w:lineRule="auto"/>
        <w:rPr>
          <w:rFonts w:ascii="Times New Roman" w:hAnsi="Times New Roman"/>
        </w:rPr>
      </w:pPr>
      <w:r w:rsidRPr="00D965D0">
        <w:rPr>
          <w:rFonts w:ascii="Times New Roman" w:hAnsi="Times New Roman"/>
        </w:rPr>
        <w:t>Also common are exemptions for cost-based reasons</w:t>
      </w:r>
      <w:r>
        <w:rPr>
          <w:rFonts w:ascii="Times New Roman" w:hAnsi="Times New Roman"/>
        </w:rPr>
        <w:t xml:space="preserve"> such as</w:t>
      </w:r>
      <w:r w:rsidRPr="00D965D0">
        <w:rPr>
          <w:rFonts w:ascii="Times New Roman" w:hAnsi="Times New Roman"/>
        </w:rPr>
        <w:t xml:space="preserve"> if compliance would be an unreasonable burden, cost-prohibitive, not cost-effective, or cause an increase in construction cost by a certain percentage.  Multiple ordinances exempt certain types of facilities such as unoccupied buildings or garages, or certain types of construction such as seismic retrofits or handicap upgrades. Historic structures are also a common exemption. Most often the ordinances include a combination of the exemptions listed above.</w:t>
      </w:r>
      <w:r>
        <w:rPr>
          <w:rStyle w:val="FootnoteReference"/>
          <w:rFonts w:ascii="Times New Roman" w:hAnsi="Times New Roman"/>
        </w:rPr>
        <w:footnoteReference w:id="15"/>
      </w:r>
      <w:r w:rsidRPr="00D965D0">
        <w:rPr>
          <w:rFonts w:ascii="Times New Roman" w:hAnsi="Times New Roman"/>
        </w:rPr>
        <w:t xml:space="preserve"> </w:t>
      </w:r>
    </w:p>
    <w:p w:rsidR="00DF59EE" w:rsidRPr="00D965D0" w:rsidRDefault="00DF59EE" w:rsidP="00D965D0">
      <w:pPr>
        <w:spacing w:line="360" w:lineRule="auto"/>
        <w:rPr>
          <w:rFonts w:ascii="Times New Roman" w:hAnsi="Times New Roman"/>
          <w:u w:val="single"/>
        </w:rPr>
      </w:pPr>
    </w:p>
    <w:p w:rsidR="00DF59EE" w:rsidRPr="00D965D0" w:rsidRDefault="00DF59EE" w:rsidP="00D965D0">
      <w:pPr>
        <w:spacing w:line="360" w:lineRule="auto"/>
        <w:rPr>
          <w:rFonts w:ascii="Times New Roman" w:hAnsi="Times New Roman"/>
          <w:u w:val="single"/>
        </w:rPr>
      </w:pPr>
      <w:r w:rsidRPr="00D965D0">
        <w:rPr>
          <w:rFonts w:ascii="Times New Roman" w:hAnsi="Times New Roman"/>
          <w:u w:val="single"/>
        </w:rPr>
        <w:t>Compliance process</w:t>
      </w:r>
    </w:p>
    <w:p w:rsidR="00DF59EE" w:rsidRPr="00D965D0" w:rsidRDefault="00DF59EE" w:rsidP="00B81A56">
      <w:pPr>
        <w:spacing w:line="360" w:lineRule="auto"/>
        <w:rPr>
          <w:rFonts w:ascii="Times New Roman" w:hAnsi="Times New Roman"/>
        </w:rPr>
      </w:pPr>
      <w:r w:rsidRPr="00D965D0">
        <w:rPr>
          <w:rFonts w:ascii="Times New Roman" w:hAnsi="Times New Roman"/>
        </w:rPr>
        <w:t xml:space="preserve">Only 46, or 33%, of the ordinances </w:t>
      </w:r>
      <w:r>
        <w:rPr>
          <w:rFonts w:ascii="Times New Roman" w:hAnsi="Times New Roman"/>
        </w:rPr>
        <w:t>provide</w:t>
      </w:r>
      <w:r w:rsidRPr="00D965D0">
        <w:rPr>
          <w:rFonts w:ascii="Times New Roman" w:hAnsi="Times New Roman"/>
        </w:rPr>
        <w:t xml:space="preserve"> any details on the process of complying with the green building standards. Thirty-two of these are ordinances aimed only at municipal construction. The common elements of these ordinances are to require</w:t>
      </w:r>
      <w:r>
        <w:rPr>
          <w:rFonts w:ascii="Times New Roman" w:hAnsi="Times New Roman"/>
        </w:rPr>
        <w:t>:</w:t>
      </w:r>
      <w:r w:rsidRPr="00D965D0">
        <w:rPr>
          <w:rFonts w:ascii="Times New Roman" w:hAnsi="Times New Roman"/>
        </w:rPr>
        <w:t xml:space="preserve"> a LEED Accredited Professional to be a member of the design and construction team, a LEED checklist demonstrating the points that will be attained, and identification of the person in charge of the program or inspections. A few ordinances also withhold a building permit until there is verification by municipal officials that the project has been designed to meet the standard.</w:t>
      </w:r>
    </w:p>
    <w:p w:rsidR="00DF59EE" w:rsidRPr="00D965D0" w:rsidRDefault="00DF59EE" w:rsidP="00D965D0">
      <w:pPr>
        <w:spacing w:line="360" w:lineRule="auto"/>
        <w:rPr>
          <w:rFonts w:ascii="Times New Roman" w:hAnsi="Times New Roman"/>
          <w:u w:val="single"/>
        </w:rPr>
      </w:pPr>
    </w:p>
    <w:p w:rsidR="00DF59EE" w:rsidRPr="00D965D0" w:rsidRDefault="00DF59EE" w:rsidP="00D965D0">
      <w:pPr>
        <w:spacing w:line="360" w:lineRule="auto"/>
        <w:rPr>
          <w:rFonts w:ascii="Times New Roman" w:hAnsi="Times New Roman"/>
          <w:u w:val="single"/>
        </w:rPr>
      </w:pPr>
      <w:r w:rsidRPr="00D965D0">
        <w:rPr>
          <w:rFonts w:ascii="Times New Roman" w:hAnsi="Times New Roman"/>
          <w:u w:val="single"/>
        </w:rPr>
        <w:t>Enforcement</w:t>
      </w:r>
    </w:p>
    <w:p w:rsidR="00DF59EE" w:rsidRPr="00D965D0" w:rsidRDefault="00DF59EE" w:rsidP="00B81A56">
      <w:pPr>
        <w:spacing w:line="360" w:lineRule="auto"/>
        <w:rPr>
          <w:rFonts w:ascii="Times New Roman" w:hAnsi="Times New Roman"/>
        </w:rPr>
      </w:pPr>
      <w:r w:rsidRPr="00D965D0">
        <w:rPr>
          <w:rFonts w:ascii="Times New Roman" w:hAnsi="Times New Roman"/>
        </w:rPr>
        <w:t xml:space="preserve">The overwhelming majority of the public ordinances do not discuss enforcement mechanisms. The ordinances with enforcement mechanisms have them </w:t>
      </w:r>
      <w:r>
        <w:rPr>
          <w:rFonts w:ascii="Times New Roman" w:hAnsi="Times New Roman"/>
        </w:rPr>
        <w:t>under</w:t>
      </w:r>
      <w:r w:rsidRPr="00D965D0">
        <w:rPr>
          <w:rFonts w:ascii="Times New Roman" w:hAnsi="Times New Roman"/>
        </w:rPr>
        <w:t xml:space="preserve"> one of two </w:t>
      </w:r>
      <w:r>
        <w:rPr>
          <w:rFonts w:ascii="Times New Roman" w:hAnsi="Times New Roman"/>
        </w:rPr>
        <w:t>circumstances</w:t>
      </w:r>
      <w:r w:rsidRPr="00D965D0">
        <w:rPr>
          <w:rFonts w:ascii="Times New Roman" w:hAnsi="Times New Roman"/>
        </w:rPr>
        <w:t>: either the ordinance is one that applies to all commercial buildings and thus applies to both public and private construction, or the ordinance is codified in the municipal code with separate requirements for private and public construction but has an enforcement provision that applies to both.</w:t>
      </w:r>
      <w:r>
        <w:rPr>
          <w:rStyle w:val="FootnoteReference"/>
          <w:rFonts w:ascii="Times New Roman" w:hAnsi="Times New Roman"/>
        </w:rPr>
        <w:footnoteReference w:id="16"/>
      </w:r>
      <w:r w:rsidRPr="00D965D0">
        <w:rPr>
          <w:rFonts w:ascii="Times New Roman" w:hAnsi="Times New Roman"/>
        </w:rPr>
        <w:t xml:space="preserve"> In either situation the enforcement provision is presumably in place to guarantee that private buildings comply with the standards. </w:t>
      </w:r>
    </w:p>
    <w:p w:rsidR="00DF59EE" w:rsidRPr="00D965D0" w:rsidRDefault="00DF59EE" w:rsidP="00D965D0">
      <w:pPr>
        <w:spacing w:line="360" w:lineRule="auto"/>
        <w:rPr>
          <w:rFonts w:ascii="Times New Roman" w:hAnsi="Times New Roman"/>
        </w:rPr>
      </w:pPr>
    </w:p>
    <w:p w:rsidR="00DF59EE" w:rsidRPr="00D965D0" w:rsidRDefault="00DF59EE" w:rsidP="00B81A56">
      <w:pPr>
        <w:spacing w:line="360" w:lineRule="auto"/>
        <w:rPr>
          <w:rFonts w:ascii="Times New Roman" w:hAnsi="Times New Roman"/>
        </w:rPr>
      </w:pPr>
      <w:r w:rsidRPr="00D965D0">
        <w:rPr>
          <w:rFonts w:ascii="Times New Roman" w:hAnsi="Times New Roman"/>
        </w:rPr>
        <w:t xml:space="preserve">There are 3 </w:t>
      </w:r>
      <w:r>
        <w:rPr>
          <w:rFonts w:ascii="Times New Roman" w:hAnsi="Times New Roman"/>
        </w:rPr>
        <w:t xml:space="preserve">public </w:t>
      </w:r>
      <w:r w:rsidRPr="00D965D0">
        <w:rPr>
          <w:rFonts w:ascii="Times New Roman" w:hAnsi="Times New Roman"/>
        </w:rPr>
        <w:t>ordinances that do have mechanisms to enforce the</w:t>
      </w:r>
      <w:r>
        <w:rPr>
          <w:rFonts w:ascii="Times New Roman" w:hAnsi="Times New Roman"/>
        </w:rPr>
        <w:t>ir</w:t>
      </w:r>
      <w:r w:rsidRPr="00D965D0">
        <w:rPr>
          <w:rFonts w:ascii="Times New Roman" w:hAnsi="Times New Roman"/>
        </w:rPr>
        <w:t xml:space="preserve"> requirements. These require the municipality to file reports with the city council on the municipality’s compliance with the ordinance.</w:t>
      </w:r>
      <w:r>
        <w:rPr>
          <w:rStyle w:val="FootnoteReference"/>
          <w:rFonts w:ascii="Times New Roman" w:hAnsi="Times New Roman"/>
        </w:rPr>
        <w:footnoteReference w:id="17"/>
      </w:r>
      <w:r w:rsidRPr="00D965D0">
        <w:rPr>
          <w:rFonts w:ascii="Times New Roman" w:hAnsi="Times New Roman"/>
        </w:rPr>
        <w:t xml:space="preserve"> As these reports are presumably discussed in city council meetings, they are likely publicly available within the city council minutes of the municipality.</w:t>
      </w:r>
    </w:p>
    <w:p w:rsidR="00DF59EE" w:rsidRPr="00D965D0" w:rsidRDefault="00DF59EE" w:rsidP="00D965D0">
      <w:pPr>
        <w:spacing w:line="360" w:lineRule="auto"/>
        <w:rPr>
          <w:rFonts w:ascii="Times New Roman" w:hAnsi="Times New Roman"/>
        </w:rPr>
      </w:pPr>
    </w:p>
    <w:p w:rsidR="00DF59EE" w:rsidRPr="002A0F31" w:rsidRDefault="00DF59EE" w:rsidP="00D965D0">
      <w:pPr>
        <w:spacing w:line="360" w:lineRule="auto"/>
        <w:rPr>
          <w:rFonts w:ascii="Times New Roman" w:hAnsi="Times New Roman"/>
          <w:b/>
        </w:rPr>
      </w:pPr>
      <w:r w:rsidRPr="00D965D0">
        <w:rPr>
          <w:rFonts w:ascii="Times New Roman" w:hAnsi="Times New Roman"/>
          <w:b/>
        </w:rPr>
        <w:t>Ordinances that apply to private buildings</w:t>
      </w:r>
    </w:p>
    <w:p w:rsidR="00DF59EE" w:rsidRPr="00D965D0" w:rsidRDefault="00DF59EE" w:rsidP="00D965D0">
      <w:pPr>
        <w:spacing w:line="360" w:lineRule="auto"/>
        <w:rPr>
          <w:rFonts w:ascii="Times New Roman" w:hAnsi="Times New Roman"/>
        </w:rPr>
      </w:pPr>
      <w:r w:rsidRPr="00D965D0">
        <w:rPr>
          <w:rFonts w:ascii="Times New Roman" w:hAnsi="Times New Roman"/>
        </w:rPr>
        <w:t>The spreadsheet includes 61 ordinances that require private construction to meet green building standards. Often these private ordinances cover both residential and commercial construction but provide different standards and requirements based on the type of building. The spreadsheet includes 112 rows because some of the ordinances with different requirements for different types of buildings are broken down into multiple listings.</w:t>
      </w:r>
    </w:p>
    <w:p w:rsidR="00DF59EE" w:rsidRPr="00D965D0" w:rsidRDefault="00DF59EE" w:rsidP="00D965D0">
      <w:pPr>
        <w:spacing w:line="360" w:lineRule="auto"/>
        <w:rPr>
          <w:rFonts w:ascii="Times New Roman" w:hAnsi="Times New Roman"/>
        </w:rPr>
      </w:pPr>
    </w:p>
    <w:p w:rsidR="00DF59EE" w:rsidRPr="00D965D0" w:rsidRDefault="00DF59EE" w:rsidP="00D965D0">
      <w:pPr>
        <w:spacing w:line="360" w:lineRule="auto"/>
        <w:rPr>
          <w:rFonts w:ascii="Times New Roman" w:hAnsi="Times New Roman"/>
          <w:u w:val="single"/>
        </w:rPr>
      </w:pPr>
      <w:r w:rsidRPr="00D965D0">
        <w:rPr>
          <w:rFonts w:ascii="Times New Roman" w:hAnsi="Times New Roman"/>
          <w:u w:val="single"/>
        </w:rPr>
        <w:t>Type of construction</w:t>
      </w:r>
    </w:p>
    <w:p w:rsidR="00DF59EE" w:rsidRPr="00D965D0" w:rsidRDefault="00DF59EE" w:rsidP="00D965D0">
      <w:pPr>
        <w:spacing w:line="360" w:lineRule="auto"/>
        <w:rPr>
          <w:rFonts w:ascii="Times New Roman" w:hAnsi="Times New Roman"/>
        </w:rPr>
      </w:pPr>
      <w:r w:rsidRPr="00D965D0">
        <w:rPr>
          <w:rFonts w:ascii="Times New Roman" w:hAnsi="Times New Roman"/>
        </w:rPr>
        <w:t xml:space="preserve">As with the public ordinances, all of the private ordinances cover new construction. Twenty-seven, or 42%, only cover </w:t>
      </w:r>
      <w:r>
        <w:rPr>
          <w:rFonts w:ascii="Times New Roman" w:hAnsi="Times New Roman"/>
        </w:rPr>
        <w:t>new construction, while the remainder</w:t>
      </w:r>
      <w:r w:rsidRPr="00D965D0">
        <w:rPr>
          <w:rFonts w:ascii="Times New Roman" w:hAnsi="Times New Roman"/>
        </w:rPr>
        <w:t xml:space="preserve"> also include subsequent construction using different terms such as renovations, remodels, additions, or major modifications.</w:t>
      </w:r>
      <w:r>
        <w:rPr>
          <w:rStyle w:val="FootnoteReference"/>
          <w:rFonts w:ascii="Times New Roman" w:hAnsi="Times New Roman"/>
        </w:rPr>
        <w:footnoteReference w:id="18"/>
      </w:r>
      <w:r w:rsidRPr="00D965D0">
        <w:rPr>
          <w:rFonts w:ascii="Times New Roman" w:hAnsi="Times New Roman"/>
        </w:rPr>
        <w:t xml:space="preserve"> None of the ordinances that cover private construction require existing buildings to meet green building standards.</w:t>
      </w:r>
    </w:p>
    <w:p w:rsidR="00DF59EE" w:rsidRPr="00D965D0" w:rsidRDefault="00DF59EE" w:rsidP="00D965D0">
      <w:pPr>
        <w:spacing w:line="360" w:lineRule="auto"/>
        <w:rPr>
          <w:rFonts w:ascii="Times New Roman" w:hAnsi="Times New Roman"/>
        </w:rPr>
      </w:pPr>
    </w:p>
    <w:p w:rsidR="00DF59EE" w:rsidRPr="00D965D0" w:rsidRDefault="00DF59EE" w:rsidP="00D965D0">
      <w:pPr>
        <w:spacing w:line="360" w:lineRule="auto"/>
        <w:rPr>
          <w:rFonts w:ascii="Times New Roman" w:hAnsi="Times New Roman"/>
        </w:rPr>
      </w:pPr>
      <w:r w:rsidRPr="00D965D0">
        <w:rPr>
          <w:rFonts w:ascii="Times New Roman" w:hAnsi="Times New Roman"/>
        </w:rPr>
        <w:t xml:space="preserve">The consensus of the municipalities is to include new construction and some form of subsequent construction. </w:t>
      </w:r>
    </w:p>
    <w:p w:rsidR="00DF59EE" w:rsidRPr="00D965D0" w:rsidRDefault="00DF59EE" w:rsidP="00D965D0">
      <w:pPr>
        <w:spacing w:line="360" w:lineRule="auto"/>
        <w:rPr>
          <w:rFonts w:ascii="Times New Roman" w:hAnsi="Times New Roman"/>
        </w:rPr>
      </w:pPr>
    </w:p>
    <w:p w:rsidR="00DF59EE" w:rsidRDefault="00DF59EE" w:rsidP="00D965D0">
      <w:pPr>
        <w:spacing w:line="360" w:lineRule="auto"/>
        <w:rPr>
          <w:rFonts w:ascii="Times New Roman" w:hAnsi="Times New Roman"/>
          <w:u w:val="single"/>
        </w:rPr>
      </w:pPr>
      <w:r w:rsidRPr="00D965D0">
        <w:rPr>
          <w:rFonts w:ascii="Times New Roman" w:hAnsi="Times New Roman"/>
          <w:u w:val="single"/>
        </w:rPr>
        <w:t>Type of buildings</w:t>
      </w:r>
    </w:p>
    <w:p w:rsidR="00DF59EE" w:rsidRPr="002A0F31" w:rsidRDefault="00DF59EE" w:rsidP="00D965D0">
      <w:pPr>
        <w:spacing w:line="360" w:lineRule="auto"/>
        <w:rPr>
          <w:rFonts w:ascii="Times New Roman" w:hAnsi="Times New Roman"/>
          <w:u w:val="single"/>
        </w:rPr>
      </w:pPr>
      <w:r w:rsidRPr="00D965D0">
        <w:rPr>
          <w:rFonts w:ascii="Times New Roman" w:hAnsi="Times New Roman"/>
        </w:rPr>
        <w:t xml:space="preserve">The consensus of the municipalities is to apply green building standards to both commercial/non-residential construction and residential construction. Of the 61 private ordinances, 37 cover both types of construction, 19 cover only residential construction, and 5 cover only commercial/non-residential construction. </w:t>
      </w:r>
    </w:p>
    <w:p w:rsidR="00DF59EE" w:rsidRPr="00D965D0" w:rsidRDefault="00DF59EE" w:rsidP="00D965D0">
      <w:pPr>
        <w:spacing w:line="360" w:lineRule="auto"/>
        <w:rPr>
          <w:rFonts w:ascii="Times New Roman" w:hAnsi="Times New Roman"/>
        </w:rPr>
      </w:pPr>
    </w:p>
    <w:p w:rsidR="00DF59EE" w:rsidRDefault="00DF59EE" w:rsidP="00D965D0">
      <w:pPr>
        <w:spacing w:line="360" w:lineRule="auto"/>
        <w:rPr>
          <w:rFonts w:ascii="Times New Roman" w:hAnsi="Times New Roman"/>
        </w:rPr>
      </w:pPr>
      <w:r w:rsidRPr="00D965D0">
        <w:rPr>
          <w:rFonts w:ascii="Times New Roman" w:hAnsi="Times New Roman"/>
        </w:rPr>
        <w:t>Of the ordinances that cover both types of construction, over 60% separate commercial and residential construction and require different standards of each, while the rest have the same standard for both. The ordinances with the same standard for both commercial and residential construction generally only cover multi-family construction or mixed-use development and do not include single family homes.</w:t>
      </w:r>
      <w:r>
        <w:rPr>
          <w:rStyle w:val="FootnoteReference"/>
          <w:rFonts w:ascii="Times New Roman" w:hAnsi="Times New Roman"/>
        </w:rPr>
        <w:footnoteReference w:id="19"/>
      </w:r>
      <w:r w:rsidRPr="00D965D0">
        <w:rPr>
          <w:rFonts w:ascii="Times New Roman" w:hAnsi="Times New Roman"/>
        </w:rPr>
        <w:t xml:space="preserve"> </w:t>
      </w:r>
    </w:p>
    <w:p w:rsidR="00DF59EE" w:rsidRPr="00D965D0" w:rsidRDefault="00DF59EE" w:rsidP="00D965D0">
      <w:pPr>
        <w:spacing w:line="360" w:lineRule="auto"/>
        <w:rPr>
          <w:rFonts w:ascii="Times New Roman" w:hAnsi="Times New Roman"/>
        </w:rPr>
      </w:pPr>
    </w:p>
    <w:p w:rsidR="00DF59EE" w:rsidRPr="00D965D0" w:rsidRDefault="00DF59EE" w:rsidP="00D965D0">
      <w:pPr>
        <w:spacing w:line="360" w:lineRule="auto"/>
        <w:rPr>
          <w:rFonts w:ascii="Times New Roman" w:hAnsi="Times New Roman"/>
        </w:rPr>
      </w:pPr>
      <w:r w:rsidRPr="00D965D0">
        <w:rPr>
          <w:rFonts w:ascii="Times New Roman" w:hAnsi="Times New Roman"/>
        </w:rPr>
        <w:t xml:space="preserve">Some ordinances specify that they only apply to single family or multi-family housing, or distinguish between single family and multi-family residential construction, </w:t>
      </w:r>
      <w:r>
        <w:rPr>
          <w:rFonts w:ascii="Times New Roman" w:hAnsi="Times New Roman"/>
        </w:rPr>
        <w:t>requiring different standards for</w:t>
      </w:r>
      <w:r w:rsidRPr="00D965D0">
        <w:rPr>
          <w:rFonts w:ascii="Times New Roman" w:hAnsi="Times New Roman"/>
        </w:rPr>
        <w:t xml:space="preserve"> each.</w:t>
      </w:r>
      <w:r>
        <w:rPr>
          <w:rStyle w:val="FootnoteReference"/>
          <w:rFonts w:ascii="Times New Roman" w:hAnsi="Times New Roman"/>
        </w:rPr>
        <w:footnoteReference w:id="20"/>
      </w:r>
      <w:r w:rsidRPr="00D965D0">
        <w:rPr>
          <w:rFonts w:ascii="Times New Roman" w:hAnsi="Times New Roman"/>
        </w:rPr>
        <w:t xml:space="preserve"> </w:t>
      </w:r>
    </w:p>
    <w:p w:rsidR="00DF59EE" w:rsidRPr="00D965D0" w:rsidRDefault="00DF59EE" w:rsidP="00D965D0">
      <w:pPr>
        <w:spacing w:line="360" w:lineRule="auto"/>
        <w:rPr>
          <w:rFonts w:ascii="Times New Roman" w:hAnsi="Times New Roman"/>
          <w:u w:val="single"/>
        </w:rPr>
      </w:pPr>
    </w:p>
    <w:p w:rsidR="00DF59EE" w:rsidRPr="00D965D0" w:rsidRDefault="00DF59EE" w:rsidP="00D965D0">
      <w:pPr>
        <w:spacing w:line="360" w:lineRule="auto"/>
        <w:rPr>
          <w:rFonts w:ascii="Times New Roman" w:hAnsi="Times New Roman"/>
          <w:u w:val="single"/>
        </w:rPr>
      </w:pPr>
      <w:r w:rsidRPr="00D965D0">
        <w:rPr>
          <w:rFonts w:ascii="Times New Roman" w:hAnsi="Times New Roman"/>
          <w:u w:val="single"/>
        </w:rPr>
        <w:t>Size or financial thresholds</w:t>
      </w:r>
    </w:p>
    <w:p w:rsidR="00DF59EE" w:rsidRPr="00D965D0" w:rsidRDefault="00DF59EE" w:rsidP="00146184">
      <w:pPr>
        <w:spacing w:line="360" w:lineRule="auto"/>
        <w:rPr>
          <w:rFonts w:ascii="Times New Roman" w:hAnsi="Times New Roman"/>
        </w:rPr>
      </w:pPr>
      <w:r w:rsidRPr="00D965D0">
        <w:rPr>
          <w:rFonts w:ascii="Times New Roman" w:hAnsi="Times New Roman"/>
        </w:rPr>
        <w:t xml:space="preserve">The </w:t>
      </w:r>
      <w:r>
        <w:rPr>
          <w:rFonts w:ascii="Times New Roman" w:hAnsi="Times New Roman"/>
        </w:rPr>
        <w:t>vast majority</w:t>
      </w:r>
      <w:r w:rsidRPr="00D965D0">
        <w:rPr>
          <w:rFonts w:ascii="Times New Roman" w:hAnsi="Times New Roman"/>
        </w:rPr>
        <w:t xml:space="preserve"> of municipalities </w:t>
      </w:r>
      <w:r>
        <w:rPr>
          <w:rFonts w:ascii="Times New Roman" w:hAnsi="Times New Roman"/>
        </w:rPr>
        <w:t>do not</w:t>
      </w:r>
      <w:r w:rsidRPr="00D965D0">
        <w:rPr>
          <w:rFonts w:ascii="Times New Roman" w:hAnsi="Times New Roman"/>
        </w:rPr>
        <w:t xml:space="preserve"> </w:t>
      </w:r>
      <w:r>
        <w:rPr>
          <w:rFonts w:ascii="Times New Roman" w:hAnsi="Times New Roman"/>
        </w:rPr>
        <w:t>set</w:t>
      </w:r>
      <w:r w:rsidRPr="00D965D0">
        <w:rPr>
          <w:rFonts w:ascii="Times New Roman" w:hAnsi="Times New Roman"/>
        </w:rPr>
        <w:t xml:space="preserve"> a financial threshold for application of the green building requirements to private construction</w:t>
      </w:r>
      <w:r>
        <w:rPr>
          <w:rFonts w:ascii="Times New Roman" w:hAnsi="Times New Roman"/>
        </w:rPr>
        <w:t>.</w:t>
      </w:r>
      <w:r w:rsidRPr="00146184">
        <w:rPr>
          <w:rFonts w:ascii="Times New Roman" w:hAnsi="Times New Roman"/>
        </w:rPr>
        <w:t xml:space="preserve"> </w:t>
      </w:r>
      <w:r>
        <w:rPr>
          <w:rFonts w:ascii="Times New Roman" w:hAnsi="Times New Roman"/>
        </w:rPr>
        <w:t>This means</w:t>
      </w:r>
      <w:r w:rsidRPr="00D965D0">
        <w:rPr>
          <w:rFonts w:ascii="Times New Roman" w:hAnsi="Times New Roman"/>
        </w:rPr>
        <w:t xml:space="preserve"> </w:t>
      </w:r>
      <w:r>
        <w:rPr>
          <w:rFonts w:ascii="Times New Roman" w:hAnsi="Times New Roman"/>
        </w:rPr>
        <w:t xml:space="preserve">the ordinance applies broadly and requires </w:t>
      </w:r>
      <w:r w:rsidRPr="00D965D0">
        <w:rPr>
          <w:rFonts w:ascii="Times New Roman" w:hAnsi="Times New Roman"/>
        </w:rPr>
        <w:t xml:space="preserve">more buildings </w:t>
      </w:r>
      <w:r>
        <w:rPr>
          <w:rFonts w:ascii="Times New Roman" w:hAnsi="Times New Roman"/>
        </w:rPr>
        <w:t>to</w:t>
      </w:r>
      <w:r w:rsidRPr="00D965D0">
        <w:rPr>
          <w:rFonts w:ascii="Times New Roman" w:hAnsi="Times New Roman"/>
        </w:rPr>
        <w:t xml:space="preserve"> comply with the </w:t>
      </w:r>
      <w:r>
        <w:rPr>
          <w:rFonts w:ascii="Times New Roman" w:hAnsi="Times New Roman"/>
        </w:rPr>
        <w:t>standard</w:t>
      </w:r>
      <w:r w:rsidRPr="00D965D0">
        <w:rPr>
          <w:rFonts w:ascii="Times New Roman" w:hAnsi="Times New Roman"/>
        </w:rPr>
        <w:t xml:space="preserve"> than if a f</w:t>
      </w:r>
      <w:r>
        <w:rPr>
          <w:rFonts w:ascii="Times New Roman" w:hAnsi="Times New Roman"/>
        </w:rPr>
        <w:t>inancial threshold was in place</w:t>
      </w:r>
      <w:r w:rsidRPr="00D965D0">
        <w:rPr>
          <w:rFonts w:ascii="Times New Roman" w:hAnsi="Times New Roman"/>
        </w:rPr>
        <w:t>. Only 4 of the private ordinances have a financial threshold and 3 of those only apply to renovations.</w:t>
      </w:r>
      <w:r>
        <w:rPr>
          <w:rStyle w:val="FootnoteReference"/>
          <w:rFonts w:ascii="Times New Roman" w:hAnsi="Times New Roman"/>
        </w:rPr>
        <w:footnoteReference w:id="21"/>
      </w:r>
      <w:r>
        <w:rPr>
          <w:rFonts w:ascii="Times New Roman" w:hAnsi="Times New Roman"/>
        </w:rPr>
        <w:t xml:space="preserve"> </w:t>
      </w:r>
    </w:p>
    <w:p w:rsidR="00DF59EE" w:rsidRPr="00D965D0" w:rsidRDefault="00DF59EE" w:rsidP="00D965D0">
      <w:pPr>
        <w:spacing w:line="360" w:lineRule="auto"/>
        <w:rPr>
          <w:rFonts w:ascii="Times New Roman" w:hAnsi="Times New Roman"/>
        </w:rPr>
      </w:pPr>
    </w:p>
    <w:p w:rsidR="00DF59EE" w:rsidRPr="00D965D0" w:rsidRDefault="00DF59EE" w:rsidP="00146184">
      <w:pPr>
        <w:spacing w:line="360" w:lineRule="auto"/>
        <w:rPr>
          <w:rFonts w:ascii="Times New Roman" w:hAnsi="Times New Roman"/>
        </w:rPr>
      </w:pPr>
      <w:r w:rsidRPr="00D965D0">
        <w:rPr>
          <w:rFonts w:ascii="Times New Roman" w:hAnsi="Times New Roman"/>
        </w:rPr>
        <w:t>The size thresholds for the private ordinances are more complex and contain more variation than the public ordinances. The threshold often depends on the type of construction. There is no clear consensus for most of the standards; however there is a trend toward tiering the requirements so that the standards become more stringent as the size of the building increases.</w:t>
      </w:r>
    </w:p>
    <w:p w:rsidR="00DF59EE" w:rsidRPr="00D965D0" w:rsidRDefault="00DF59EE" w:rsidP="00D965D0">
      <w:pPr>
        <w:spacing w:line="360" w:lineRule="auto"/>
        <w:rPr>
          <w:rFonts w:ascii="Times New Roman" w:hAnsi="Times New Roman"/>
        </w:rPr>
      </w:pPr>
    </w:p>
    <w:p w:rsidR="00DF59EE" w:rsidRPr="00D965D0" w:rsidRDefault="00DF59EE" w:rsidP="00D965D0">
      <w:pPr>
        <w:spacing w:line="360" w:lineRule="auto"/>
        <w:ind w:firstLine="720"/>
        <w:rPr>
          <w:rFonts w:ascii="Times New Roman" w:hAnsi="Times New Roman"/>
          <w:i/>
          <w:iCs/>
        </w:rPr>
      </w:pPr>
      <w:r w:rsidRPr="00D965D0">
        <w:rPr>
          <w:rFonts w:ascii="Times New Roman" w:hAnsi="Times New Roman"/>
          <w:i/>
          <w:iCs/>
        </w:rPr>
        <w:t>Standards covering only commercial construction</w:t>
      </w:r>
    </w:p>
    <w:p w:rsidR="00DF59EE" w:rsidRPr="00D965D0" w:rsidRDefault="00DF59EE" w:rsidP="00146184">
      <w:pPr>
        <w:spacing w:line="360" w:lineRule="auto"/>
        <w:ind w:left="720"/>
        <w:rPr>
          <w:rFonts w:ascii="Times New Roman" w:hAnsi="Times New Roman"/>
        </w:rPr>
      </w:pPr>
      <w:r w:rsidRPr="00D965D0">
        <w:rPr>
          <w:rFonts w:ascii="Times New Roman" w:hAnsi="Times New Roman"/>
        </w:rPr>
        <w:t>Seven of the 25 standards covering only commercial construction have no size requirement. Eleven have specific size thresholds ranging from 4,000 to 50,000</w:t>
      </w:r>
      <w:r>
        <w:rPr>
          <w:rFonts w:ascii="Times New Roman" w:hAnsi="Times New Roman"/>
        </w:rPr>
        <w:t xml:space="preserve"> square feet,</w:t>
      </w:r>
      <w:r w:rsidRPr="00D965D0">
        <w:rPr>
          <w:rFonts w:ascii="Times New Roman" w:hAnsi="Times New Roman"/>
        </w:rPr>
        <w:t xml:space="preserve"> with 5,000 square feet being the most common. Eight of the 25 have tiered levels with 5,000 square feet </w:t>
      </w:r>
      <w:r>
        <w:rPr>
          <w:rFonts w:ascii="Times New Roman" w:hAnsi="Times New Roman"/>
        </w:rPr>
        <w:t xml:space="preserve">as </w:t>
      </w:r>
      <w:r w:rsidRPr="00D965D0">
        <w:rPr>
          <w:rFonts w:ascii="Times New Roman" w:hAnsi="Times New Roman"/>
        </w:rPr>
        <w:t>the most common starting tier. Thus 5,000 square feet is the most common size threshold in both ordinances with tiered levels and ordinances with a particular size threshold. Most of the ordinances with tiers only have two levels such as 5,000 to 10,000</w:t>
      </w:r>
      <w:r>
        <w:rPr>
          <w:rFonts w:ascii="Times New Roman" w:hAnsi="Times New Roman"/>
        </w:rPr>
        <w:t xml:space="preserve"> square feet</w:t>
      </w:r>
      <w:r w:rsidRPr="00D965D0">
        <w:rPr>
          <w:rFonts w:ascii="Times New Roman" w:hAnsi="Times New Roman"/>
        </w:rPr>
        <w:t xml:space="preserve"> and 10,000 </w:t>
      </w:r>
      <w:r>
        <w:rPr>
          <w:rFonts w:ascii="Times New Roman" w:hAnsi="Times New Roman"/>
        </w:rPr>
        <w:t xml:space="preserve">square feet </w:t>
      </w:r>
      <w:r w:rsidRPr="00D965D0">
        <w:rPr>
          <w:rFonts w:ascii="Times New Roman" w:hAnsi="Times New Roman"/>
        </w:rPr>
        <w:t>and above.</w:t>
      </w:r>
      <w:r>
        <w:rPr>
          <w:rStyle w:val="FootnoteReference"/>
          <w:rFonts w:ascii="Times New Roman" w:hAnsi="Times New Roman"/>
        </w:rPr>
        <w:footnoteReference w:id="22"/>
      </w:r>
      <w:r w:rsidRPr="00D965D0">
        <w:rPr>
          <w:rFonts w:ascii="Times New Roman" w:hAnsi="Times New Roman"/>
        </w:rPr>
        <w:t xml:space="preserve"> Three of the ordinances have specific, separate size requirements for remodels and additions. </w:t>
      </w:r>
    </w:p>
    <w:p w:rsidR="00DF59EE" w:rsidRPr="00D965D0" w:rsidRDefault="00DF59EE" w:rsidP="00D965D0">
      <w:pPr>
        <w:spacing w:line="360" w:lineRule="auto"/>
        <w:rPr>
          <w:rFonts w:ascii="Times New Roman" w:hAnsi="Times New Roman"/>
        </w:rPr>
      </w:pPr>
    </w:p>
    <w:p w:rsidR="00DF59EE" w:rsidRPr="00D965D0" w:rsidRDefault="00DF59EE" w:rsidP="00D965D0">
      <w:pPr>
        <w:spacing w:line="360" w:lineRule="auto"/>
        <w:ind w:firstLine="720"/>
        <w:rPr>
          <w:rFonts w:ascii="Times New Roman" w:hAnsi="Times New Roman"/>
        </w:rPr>
      </w:pPr>
      <w:r w:rsidRPr="00D965D0">
        <w:rPr>
          <w:rFonts w:ascii="Times New Roman" w:hAnsi="Times New Roman"/>
          <w:i/>
          <w:iCs/>
        </w:rPr>
        <w:t>Standards covering all residential construction</w:t>
      </w:r>
    </w:p>
    <w:p w:rsidR="00DF59EE" w:rsidRPr="00D965D0" w:rsidRDefault="00DF59EE" w:rsidP="008B7F17">
      <w:pPr>
        <w:spacing w:line="360" w:lineRule="auto"/>
        <w:ind w:left="720"/>
        <w:rPr>
          <w:rFonts w:ascii="Times New Roman" w:hAnsi="Times New Roman"/>
        </w:rPr>
      </w:pPr>
      <w:r w:rsidRPr="00D965D0">
        <w:rPr>
          <w:rFonts w:ascii="Times New Roman" w:hAnsi="Times New Roman"/>
        </w:rPr>
        <w:t xml:space="preserve">Fifteen of the 24 standards covering all residential construction have no size </w:t>
      </w:r>
      <w:r>
        <w:rPr>
          <w:rFonts w:ascii="Times New Roman" w:hAnsi="Times New Roman"/>
        </w:rPr>
        <w:t>threshold</w:t>
      </w:r>
      <w:r w:rsidRPr="00D965D0">
        <w:rPr>
          <w:rFonts w:ascii="Times New Roman" w:hAnsi="Times New Roman"/>
        </w:rPr>
        <w:t xml:space="preserve"> while 2 have 500 square feet as a threshold, 1 has 1,500 square feet as a threshold, and 6 are tiered. One of the tiered ordinances also has separate tiers for additions.</w:t>
      </w:r>
    </w:p>
    <w:p w:rsidR="00DF59EE" w:rsidRPr="00D965D0" w:rsidRDefault="00DF59EE" w:rsidP="00D965D0">
      <w:pPr>
        <w:spacing w:line="360" w:lineRule="auto"/>
        <w:ind w:left="720"/>
        <w:rPr>
          <w:rFonts w:ascii="Times New Roman" w:hAnsi="Times New Roman"/>
        </w:rPr>
      </w:pPr>
    </w:p>
    <w:p w:rsidR="00DF59EE" w:rsidRPr="00D965D0" w:rsidRDefault="00DF59EE" w:rsidP="00D965D0">
      <w:pPr>
        <w:spacing w:line="360" w:lineRule="auto"/>
        <w:ind w:left="720"/>
        <w:rPr>
          <w:rFonts w:ascii="Times New Roman" w:hAnsi="Times New Roman"/>
          <w:i/>
          <w:iCs/>
        </w:rPr>
      </w:pPr>
      <w:r w:rsidRPr="00D965D0">
        <w:rPr>
          <w:rFonts w:ascii="Times New Roman" w:hAnsi="Times New Roman"/>
          <w:i/>
          <w:iCs/>
        </w:rPr>
        <w:t xml:space="preserve">Standards covering single family homes and small scale multi-family homes </w:t>
      </w:r>
    </w:p>
    <w:p w:rsidR="00DF59EE" w:rsidRPr="00D965D0" w:rsidRDefault="00DF59EE" w:rsidP="00D965D0">
      <w:pPr>
        <w:spacing w:line="360" w:lineRule="auto"/>
        <w:ind w:left="720"/>
        <w:rPr>
          <w:rFonts w:ascii="Times New Roman" w:hAnsi="Times New Roman"/>
          <w:iCs/>
        </w:rPr>
      </w:pPr>
      <w:r w:rsidRPr="00D965D0">
        <w:rPr>
          <w:rFonts w:ascii="Times New Roman" w:hAnsi="Times New Roman"/>
          <w:iCs/>
        </w:rPr>
        <w:t>There are eight ordinances that cover single family homes an</w:t>
      </w:r>
      <w:r>
        <w:rPr>
          <w:rFonts w:ascii="Times New Roman" w:hAnsi="Times New Roman"/>
          <w:iCs/>
        </w:rPr>
        <w:t xml:space="preserve">d multi-family homes that are 4 to 5 units or less and 2 to </w:t>
      </w:r>
      <w:r w:rsidRPr="00D965D0">
        <w:rPr>
          <w:rFonts w:ascii="Times New Roman" w:hAnsi="Times New Roman"/>
          <w:iCs/>
        </w:rPr>
        <w:t>3 stories or less. None of these eight ordinances have a size threshold.</w:t>
      </w:r>
    </w:p>
    <w:p w:rsidR="00DF59EE" w:rsidRPr="00D965D0" w:rsidRDefault="00DF59EE" w:rsidP="00D965D0">
      <w:pPr>
        <w:spacing w:line="360" w:lineRule="auto"/>
        <w:ind w:firstLine="720"/>
        <w:rPr>
          <w:rFonts w:ascii="Times New Roman" w:hAnsi="Times New Roman"/>
          <w:i/>
          <w:iCs/>
        </w:rPr>
      </w:pPr>
    </w:p>
    <w:p w:rsidR="00DF59EE" w:rsidRPr="00D965D0" w:rsidRDefault="00DF59EE" w:rsidP="00D965D0">
      <w:pPr>
        <w:spacing w:line="360" w:lineRule="auto"/>
        <w:ind w:firstLine="720"/>
        <w:rPr>
          <w:rFonts w:ascii="Times New Roman" w:hAnsi="Times New Roman"/>
        </w:rPr>
      </w:pPr>
      <w:r w:rsidRPr="00D965D0">
        <w:rPr>
          <w:rFonts w:ascii="Times New Roman" w:hAnsi="Times New Roman"/>
          <w:i/>
          <w:iCs/>
        </w:rPr>
        <w:t>Standards covering only single family homes</w:t>
      </w:r>
    </w:p>
    <w:p w:rsidR="00DF59EE" w:rsidRPr="00D965D0" w:rsidRDefault="00DF59EE" w:rsidP="00D965D0">
      <w:pPr>
        <w:spacing w:line="360" w:lineRule="auto"/>
        <w:ind w:left="720"/>
        <w:rPr>
          <w:rFonts w:ascii="Times New Roman" w:hAnsi="Times New Roman"/>
        </w:rPr>
      </w:pPr>
      <w:r w:rsidRPr="00D965D0">
        <w:rPr>
          <w:rFonts w:ascii="Times New Roman" w:hAnsi="Times New Roman"/>
        </w:rPr>
        <w:t>There is no consensus among these 6 standards, although a majority (4) have no size requirements. One ordinance has a size threshold of 3,250 square feet and another has tiered size thresholds.  The tiered ordinance also has separate tiers for additions.</w:t>
      </w:r>
      <w:r>
        <w:rPr>
          <w:rStyle w:val="FootnoteReference"/>
          <w:rFonts w:ascii="Times New Roman" w:hAnsi="Times New Roman"/>
        </w:rPr>
        <w:footnoteReference w:id="23"/>
      </w:r>
      <w:r w:rsidRPr="00D965D0">
        <w:rPr>
          <w:rFonts w:ascii="Times New Roman" w:hAnsi="Times New Roman"/>
        </w:rPr>
        <w:t xml:space="preserve"> </w:t>
      </w:r>
    </w:p>
    <w:p w:rsidR="00DF59EE" w:rsidRPr="00D965D0" w:rsidRDefault="00DF59EE" w:rsidP="00D965D0">
      <w:pPr>
        <w:spacing w:line="360" w:lineRule="auto"/>
        <w:ind w:left="720"/>
        <w:rPr>
          <w:rFonts w:ascii="Times New Roman" w:hAnsi="Times New Roman"/>
        </w:rPr>
      </w:pPr>
    </w:p>
    <w:p w:rsidR="00DF59EE" w:rsidRPr="00D965D0" w:rsidRDefault="00DF59EE" w:rsidP="00D965D0">
      <w:pPr>
        <w:spacing w:line="360" w:lineRule="auto"/>
        <w:ind w:firstLine="720"/>
        <w:rPr>
          <w:rFonts w:ascii="Times New Roman" w:hAnsi="Times New Roman"/>
          <w:i/>
          <w:iCs/>
        </w:rPr>
      </w:pPr>
      <w:r w:rsidRPr="00D965D0">
        <w:rPr>
          <w:rFonts w:ascii="Times New Roman" w:hAnsi="Times New Roman"/>
          <w:i/>
          <w:iCs/>
        </w:rPr>
        <w:t>Standards covering commercial and multi-family residential construction</w:t>
      </w:r>
    </w:p>
    <w:p w:rsidR="00DF59EE" w:rsidRPr="00D965D0" w:rsidRDefault="00DF59EE" w:rsidP="00D965D0">
      <w:pPr>
        <w:spacing w:line="360" w:lineRule="auto"/>
        <w:ind w:left="720"/>
        <w:rPr>
          <w:rFonts w:ascii="Times New Roman" w:hAnsi="Times New Roman"/>
        </w:rPr>
      </w:pPr>
      <w:r w:rsidRPr="00D965D0">
        <w:rPr>
          <w:rFonts w:ascii="Times New Roman" w:hAnsi="Times New Roman"/>
        </w:rPr>
        <w:t xml:space="preserve">All 6 of these standards have size requirements but there is no consensus as to the square footage required. They range from 4,000 </w:t>
      </w:r>
      <w:r>
        <w:rPr>
          <w:rFonts w:ascii="Times New Roman" w:hAnsi="Times New Roman"/>
        </w:rPr>
        <w:t xml:space="preserve">square feet </w:t>
      </w:r>
      <w:r w:rsidRPr="00D965D0">
        <w:rPr>
          <w:rFonts w:ascii="Times New Roman" w:hAnsi="Times New Roman"/>
        </w:rPr>
        <w:t xml:space="preserve">to 50,000 </w:t>
      </w:r>
      <w:r>
        <w:rPr>
          <w:rFonts w:ascii="Times New Roman" w:hAnsi="Times New Roman"/>
        </w:rPr>
        <w:t xml:space="preserve">square feet </w:t>
      </w:r>
      <w:r w:rsidRPr="00D965D0">
        <w:rPr>
          <w:rFonts w:ascii="Times New Roman" w:hAnsi="Times New Roman"/>
        </w:rPr>
        <w:t>and one is tiered.</w:t>
      </w:r>
    </w:p>
    <w:p w:rsidR="00DF59EE" w:rsidRPr="00D965D0" w:rsidRDefault="00DF59EE" w:rsidP="00D965D0">
      <w:pPr>
        <w:spacing w:line="360" w:lineRule="auto"/>
        <w:rPr>
          <w:rFonts w:ascii="Times New Roman" w:hAnsi="Times New Roman"/>
        </w:rPr>
      </w:pPr>
    </w:p>
    <w:p w:rsidR="00DF59EE" w:rsidRPr="00D965D0" w:rsidRDefault="00DF59EE" w:rsidP="00D965D0">
      <w:pPr>
        <w:spacing w:line="360" w:lineRule="auto"/>
        <w:ind w:firstLine="720"/>
        <w:rPr>
          <w:rFonts w:ascii="Times New Roman" w:hAnsi="Times New Roman"/>
        </w:rPr>
      </w:pPr>
      <w:r w:rsidRPr="00D965D0">
        <w:rPr>
          <w:rFonts w:ascii="Times New Roman" w:hAnsi="Times New Roman"/>
          <w:i/>
          <w:iCs/>
        </w:rPr>
        <w:t>Standards covering large scale multi-family residential construction</w:t>
      </w:r>
    </w:p>
    <w:p w:rsidR="00DF59EE" w:rsidRPr="00D965D0" w:rsidRDefault="00DF59EE" w:rsidP="00D965D0">
      <w:pPr>
        <w:spacing w:line="360" w:lineRule="auto"/>
        <w:ind w:left="720"/>
        <w:rPr>
          <w:rFonts w:ascii="Times New Roman" w:hAnsi="Times New Roman"/>
        </w:rPr>
      </w:pPr>
      <w:r w:rsidRPr="00D965D0">
        <w:rPr>
          <w:rFonts w:ascii="Times New Roman" w:hAnsi="Times New Roman"/>
        </w:rPr>
        <w:t>There are 5 ordinances that cover multi-family resident</w:t>
      </w:r>
      <w:r>
        <w:rPr>
          <w:rFonts w:ascii="Times New Roman" w:hAnsi="Times New Roman"/>
        </w:rPr>
        <w:t xml:space="preserve">ial construction of more than 4 to </w:t>
      </w:r>
      <w:r w:rsidRPr="00D965D0">
        <w:rPr>
          <w:rFonts w:ascii="Times New Roman" w:hAnsi="Times New Roman"/>
        </w:rPr>
        <w:t>5 units. Four of these ordinances have no size threshold while one has tiers.</w:t>
      </w:r>
    </w:p>
    <w:p w:rsidR="00DF59EE" w:rsidRPr="00D965D0" w:rsidRDefault="00DF59EE" w:rsidP="00D965D0">
      <w:pPr>
        <w:spacing w:line="360" w:lineRule="auto"/>
        <w:ind w:firstLine="720"/>
        <w:rPr>
          <w:rFonts w:ascii="Times New Roman" w:hAnsi="Times New Roman"/>
          <w:i/>
          <w:iCs/>
        </w:rPr>
      </w:pPr>
    </w:p>
    <w:p w:rsidR="00DF59EE" w:rsidRPr="00D965D0" w:rsidRDefault="00DF59EE" w:rsidP="00D965D0">
      <w:pPr>
        <w:spacing w:line="360" w:lineRule="auto"/>
        <w:ind w:firstLine="720"/>
        <w:rPr>
          <w:rFonts w:ascii="Times New Roman" w:hAnsi="Times New Roman"/>
          <w:i/>
          <w:iCs/>
        </w:rPr>
      </w:pPr>
      <w:r w:rsidRPr="00D965D0">
        <w:rPr>
          <w:rFonts w:ascii="Times New Roman" w:hAnsi="Times New Roman"/>
          <w:i/>
          <w:iCs/>
        </w:rPr>
        <w:t>Standards covering commercial, mixed-use, and residential construction</w:t>
      </w:r>
    </w:p>
    <w:p w:rsidR="00DF59EE" w:rsidRPr="00D965D0" w:rsidRDefault="00DF59EE" w:rsidP="00D965D0">
      <w:pPr>
        <w:spacing w:line="360" w:lineRule="auto"/>
        <w:ind w:left="720"/>
        <w:rPr>
          <w:rFonts w:ascii="Times New Roman" w:hAnsi="Times New Roman"/>
          <w:iCs/>
        </w:rPr>
      </w:pPr>
      <w:r w:rsidRPr="00D965D0">
        <w:rPr>
          <w:rFonts w:ascii="Times New Roman" w:hAnsi="Times New Roman"/>
          <w:iCs/>
        </w:rPr>
        <w:t>Four of the 6 ordinances in this category have size thresholds</w:t>
      </w:r>
      <w:r>
        <w:rPr>
          <w:rFonts w:ascii="Times New Roman" w:hAnsi="Times New Roman"/>
          <w:iCs/>
        </w:rPr>
        <w:t xml:space="preserve"> ranging from 7,500 to 50,000 square feet</w:t>
      </w:r>
      <w:r w:rsidRPr="00D965D0">
        <w:rPr>
          <w:rFonts w:ascii="Times New Roman" w:hAnsi="Times New Roman"/>
          <w:iCs/>
        </w:rPr>
        <w:t>, while the other two do not have any size threshold requirement.</w:t>
      </w:r>
    </w:p>
    <w:p w:rsidR="00DF59EE" w:rsidRPr="00D965D0" w:rsidRDefault="00DF59EE" w:rsidP="00D965D0">
      <w:pPr>
        <w:spacing w:line="360" w:lineRule="auto"/>
        <w:ind w:firstLine="720"/>
        <w:rPr>
          <w:rFonts w:ascii="Times New Roman" w:hAnsi="Times New Roman"/>
          <w:i/>
          <w:iCs/>
        </w:rPr>
      </w:pPr>
    </w:p>
    <w:p w:rsidR="00DF59EE" w:rsidRPr="00D965D0" w:rsidRDefault="00DF59EE" w:rsidP="00D965D0">
      <w:pPr>
        <w:spacing w:line="360" w:lineRule="auto"/>
        <w:ind w:firstLine="720"/>
        <w:rPr>
          <w:rFonts w:ascii="Times New Roman" w:hAnsi="Times New Roman"/>
          <w:i/>
          <w:iCs/>
        </w:rPr>
      </w:pPr>
      <w:r w:rsidRPr="00D965D0">
        <w:rPr>
          <w:rFonts w:ascii="Times New Roman" w:hAnsi="Times New Roman"/>
          <w:i/>
          <w:iCs/>
        </w:rPr>
        <w:t>Standards covering commercial and mixed-use construction</w:t>
      </w:r>
    </w:p>
    <w:p w:rsidR="00DF59EE" w:rsidRPr="00D965D0" w:rsidRDefault="00DF59EE" w:rsidP="00D965D0">
      <w:pPr>
        <w:spacing w:line="360" w:lineRule="auto"/>
        <w:ind w:left="720"/>
        <w:rPr>
          <w:rFonts w:ascii="Times New Roman" w:hAnsi="Times New Roman"/>
          <w:iCs/>
        </w:rPr>
      </w:pPr>
      <w:r w:rsidRPr="00D965D0">
        <w:rPr>
          <w:rFonts w:ascii="Times New Roman" w:hAnsi="Times New Roman"/>
          <w:iCs/>
        </w:rPr>
        <w:t>Two of these ordinances have size thresholds of 5,000 square feet and 7,500 square feet respectively, while 1 does not have a size threshold.</w:t>
      </w:r>
    </w:p>
    <w:p w:rsidR="00DF59EE" w:rsidRPr="00D965D0" w:rsidRDefault="00DF59EE" w:rsidP="00D965D0">
      <w:pPr>
        <w:spacing w:line="360" w:lineRule="auto"/>
        <w:ind w:firstLine="720"/>
        <w:rPr>
          <w:rFonts w:ascii="Times New Roman" w:hAnsi="Times New Roman"/>
          <w:iCs/>
        </w:rPr>
      </w:pPr>
    </w:p>
    <w:p w:rsidR="00DF59EE" w:rsidRPr="00D965D0" w:rsidRDefault="00DF59EE" w:rsidP="00D965D0">
      <w:pPr>
        <w:spacing w:line="360" w:lineRule="auto"/>
        <w:ind w:firstLine="720"/>
        <w:rPr>
          <w:rFonts w:ascii="Times New Roman" w:hAnsi="Times New Roman"/>
          <w:i/>
          <w:iCs/>
        </w:rPr>
      </w:pPr>
      <w:r w:rsidRPr="00D965D0">
        <w:rPr>
          <w:rFonts w:ascii="Times New Roman" w:hAnsi="Times New Roman"/>
          <w:i/>
          <w:iCs/>
        </w:rPr>
        <w:t>Standards covering residential and mixed-use construction</w:t>
      </w:r>
    </w:p>
    <w:p w:rsidR="00DF59EE" w:rsidRPr="00D965D0" w:rsidRDefault="00DF59EE" w:rsidP="00D965D0">
      <w:pPr>
        <w:spacing w:line="360" w:lineRule="auto"/>
        <w:ind w:left="720"/>
        <w:rPr>
          <w:rFonts w:ascii="Times New Roman" w:hAnsi="Times New Roman"/>
          <w:iCs/>
        </w:rPr>
      </w:pPr>
      <w:r w:rsidRPr="00D965D0">
        <w:rPr>
          <w:rFonts w:ascii="Times New Roman" w:hAnsi="Times New Roman"/>
          <w:iCs/>
        </w:rPr>
        <w:t>Two of these ordinances have size thresholds of 500 square feet and 50,000 square feet respectively. The other ordinance has no size threshold.</w:t>
      </w:r>
    </w:p>
    <w:p w:rsidR="00DF59EE" w:rsidRPr="00D965D0" w:rsidRDefault="00DF59EE" w:rsidP="00D965D0">
      <w:pPr>
        <w:spacing w:line="360" w:lineRule="auto"/>
        <w:ind w:firstLine="720"/>
        <w:rPr>
          <w:rFonts w:ascii="Times New Roman" w:hAnsi="Times New Roman"/>
          <w:i/>
          <w:iCs/>
        </w:rPr>
      </w:pPr>
    </w:p>
    <w:p w:rsidR="00DF59EE" w:rsidRPr="00D965D0" w:rsidRDefault="00DF59EE" w:rsidP="00D965D0">
      <w:pPr>
        <w:spacing w:line="360" w:lineRule="auto"/>
        <w:ind w:firstLine="720"/>
        <w:rPr>
          <w:rFonts w:ascii="Times New Roman" w:hAnsi="Times New Roman"/>
          <w:i/>
          <w:iCs/>
        </w:rPr>
      </w:pPr>
      <w:r w:rsidRPr="00D965D0">
        <w:rPr>
          <w:rFonts w:ascii="Times New Roman" w:hAnsi="Times New Roman"/>
          <w:i/>
          <w:iCs/>
        </w:rPr>
        <w:t>Standards covering only mixed-use construction</w:t>
      </w:r>
    </w:p>
    <w:p w:rsidR="00DF59EE" w:rsidRPr="00D965D0" w:rsidRDefault="00DF59EE" w:rsidP="00D965D0">
      <w:pPr>
        <w:spacing w:line="360" w:lineRule="auto"/>
        <w:ind w:firstLine="720"/>
        <w:rPr>
          <w:rFonts w:ascii="Times New Roman" w:hAnsi="Times New Roman"/>
          <w:iCs/>
        </w:rPr>
      </w:pPr>
      <w:r w:rsidRPr="00D965D0">
        <w:rPr>
          <w:rFonts w:ascii="Times New Roman" w:hAnsi="Times New Roman"/>
          <w:iCs/>
        </w:rPr>
        <w:t>The one ordinance in this category has no size threshold.</w:t>
      </w:r>
    </w:p>
    <w:p w:rsidR="00DF59EE" w:rsidRPr="00D965D0" w:rsidRDefault="00DF59EE" w:rsidP="00D965D0">
      <w:pPr>
        <w:spacing w:line="360" w:lineRule="auto"/>
        <w:rPr>
          <w:rFonts w:ascii="Times New Roman" w:hAnsi="Times New Roman"/>
          <w:u w:val="single"/>
        </w:rPr>
      </w:pPr>
    </w:p>
    <w:p w:rsidR="00DF59EE" w:rsidRPr="00D965D0" w:rsidRDefault="00DF59EE" w:rsidP="00D965D0">
      <w:pPr>
        <w:spacing w:line="360" w:lineRule="auto"/>
        <w:rPr>
          <w:rFonts w:ascii="Times New Roman" w:hAnsi="Times New Roman"/>
        </w:rPr>
      </w:pPr>
      <w:r>
        <w:rPr>
          <w:rFonts w:ascii="Times New Roman" w:hAnsi="Times New Roman"/>
        </w:rPr>
        <w:t>Although</w:t>
      </w:r>
      <w:r w:rsidRPr="00D965D0">
        <w:rPr>
          <w:rFonts w:ascii="Times New Roman" w:hAnsi="Times New Roman"/>
        </w:rPr>
        <w:t xml:space="preserve"> there is no clear consensus for the size standards</w:t>
      </w:r>
      <w:r>
        <w:rPr>
          <w:rFonts w:ascii="Times New Roman" w:hAnsi="Times New Roman"/>
        </w:rPr>
        <w:t>,</w:t>
      </w:r>
      <w:r w:rsidRPr="00D965D0">
        <w:rPr>
          <w:rFonts w:ascii="Times New Roman" w:hAnsi="Times New Roman"/>
        </w:rPr>
        <w:t xml:space="preserve"> there are some common factors in the ordinances. Combined, 80% of the standards covering commercial buildings have some kind of size requirement, whether it is a set amount of square feet or a tiered structure. Conversely, less than 30% of the residential standards have size requirements. This may be because a good portion of these residential standards are residential only standards where the required green building requirement is low. Separate tiers for additions or a financial threshold for renovations is also common among the ordinances. </w:t>
      </w:r>
    </w:p>
    <w:p w:rsidR="00DF59EE" w:rsidRPr="00D965D0" w:rsidRDefault="00DF59EE" w:rsidP="00D965D0">
      <w:pPr>
        <w:spacing w:line="360" w:lineRule="auto"/>
        <w:rPr>
          <w:rFonts w:ascii="Times New Roman" w:hAnsi="Times New Roman"/>
          <w:highlight w:val="yellow"/>
          <w:u w:val="single"/>
        </w:rPr>
      </w:pPr>
    </w:p>
    <w:p w:rsidR="00DF59EE" w:rsidRPr="00BD60DB" w:rsidRDefault="00DF59EE" w:rsidP="00D965D0">
      <w:pPr>
        <w:spacing w:line="360" w:lineRule="auto"/>
        <w:rPr>
          <w:rFonts w:ascii="Times New Roman" w:hAnsi="Times New Roman"/>
          <w:u w:val="single"/>
        </w:rPr>
      </w:pPr>
      <w:r w:rsidRPr="00D965D0">
        <w:rPr>
          <w:rFonts w:ascii="Times New Roman" w:hAnsi="Times New Roman"/>
          <w:u w:val="single"/>
        </w:rPr>
        <w:t>Standard</w:t>
      </w:r>
    </w:p>
    <w:p w:rsidR="00DF59EE" w:rsidRPr="00D965D0" w:rsidRDefault="00DF59EE" w:rsidP="00D965D0">
      <w:pPr>
        <w:spacing w:line="360" w:lineRule="auto"/>
        <w:rPr>
          <w:rFonts w:ascii="Times New Roman" w:hAnsi="Times New Roman"/>
        </w:rPr>
      </w:pPr>
      <w:r w:rsidRPr="00D965D0">
        <w:rPr>
          <w:rFonts w:ascii="Times New Roman" w:hAnsi="Times New Roman"/>
        </w:rPr>
        <w:t xml:space="preserve">Most of the </w:t>
      </w:r>
      <w:r>
        <w:rPr>
          <w:rFonts w:ascii="Times New Roman" w:hAnsi="Times New Roman"/>
        </w:rPr>
        <w:t xml:space="preserve">private </w:t>
      </w:r>
      <w:r w:rsidRPr="00D965D0">
        <w:rPr>
          <w:rFonts w:ascii="Times New Roman" w:hAnsi="Times New Roman"/>
        </w:rPr>
        <w:t>ordinances have separate standards for commercial and residential construction.</w:t>
      </w:r>
    </w:p>
    <w:p w:rsidR="00DF59EE" w:rsidRPr="00D965D0" w:rsidRDefault="00DF59EE" w:rsidP="00D965D0">
      <w:pPr>
        <w:spacing w:line="360" w:lineRule="auto"/>
        <w:rPr>
          <w:rFonts w:ascii="Times New Roman" w:hAnsi="Times New Roman"/>
        </w:rPr>
      </w:pPr>
    </w:p>
    <w:p w:rsidR="00DF59EE" w:rsidRPr="00D965D0" w:rsidRDefault="00DF59EE" w:rsidP="00D965D0">
      <w:pPr>
        <w:spacing w:line="360" w:lineRule="auto"/>
        <w:ind w:firstLine="720"/>
        <w:rPr>
          <w:rFonts w:ascii="Times New Roman" w:hAnsi="Times New Roman"/>
          <w:bCs/>
          <w:i/>
          <w:iCs/>
        </w:rPr>
      </w:pPr>
      <w:r w:rsidRPr="00D965D0">
        <w:rPr>
          <w:rFonts w:ascii="Times New Roman" w:hAnsi="Times New Roman"/>
          <w:bCs/>
          <w:i/>
          <w:iCs/>
        </w:rPr>
        <w:t>Commercial</w:t>
      </w:r>
    </w:p>
    <w:p w:rsidR="00DF59EE" w:rsidRPr="00D965D0" w:rsidRDefault="00DF59EE" w:rsidP="00D965D0">
      <w:pPr>
        <w:spacing w:line="360" w:lineRule="auto"/>
        <w:ind w:left="720"/>
        <w:rPr>
          <w:rFonts w:ascii="Times New Roman" w:hAnsi="Times New Roman"/>
          <w:bCs/>
        </w:rPr>
      </w:pPr>
      <w:r w:rsidRPr="00D965D0">
        <w:rPr>
          <w:rFonts w:ascii="Times New Roman" w:hAnsi="Times New Roman"/>
          <w:bCs/>
        </w:rPr>
        <w:t>For commercial construction, LEED is the standard used in all of the ordinances. Thirteen of the ordinances require LEED certified and 8 require silver, while gold is only required in 1. Eight of the ordinances are tiered by size and require either LEED certified or LEED silver based on size. Nine of the ordinances require a certain number of points on a LEED checklist, or have tiers, with points ranging from 5 to 28 with 20 points being the most common.</w:t>
      </w:r>
      <w:r>
        <w:rPr>
          <w:rStyle w:val="FootnoteReference"/>
          <w:rFonts w:ascii="Times New Roman" w:hAnsi="Times New Roman"/>
          <w:bCs/>
        </w:rPr>
        <w:footnoteReference w:id="24"/>
      </w:r>
      <w:r w:rsidRPr="00D965D0">
        <w:rPr>
          <w:rFonts w:ascii="Times New Roman" w:hAnsi="Times New Roman"/>
          <w:bCs/>
        </w:rPr>
        <w:t xml:space="preserve"> </w:t>
      </w:r>
    </w:p>
    <w:p w:rsidR="00DF59EE" w:rsidRPr="00D965D0" w:rsidRDefault="00DF59EE" w:rsidP="00D965D0">
      <w:pPr>
        <w:spacing w:line="360" w:lineRule="auto"/>
        <w:ind w:left="720"/>
        <w:rPr>
          <w:rFonts w:ascii="Times New Roman" w:hAnsi="Times New Roman"/>
          <w:bCs/>
        </w:rPr>
      </w:pPr>
    </w:p>
    <w:p w:rsidR="00DF59EE" w:rsidRPr="00D965D0" w:rsidRDefault="00DF59EE" w:rsidP="00D965D0">
      <w:pPr>
        <w:spacing w:line="360" w:lineRule="auto"/>
        <w:ind w:left="720"/>
        <w:rPr>
          <w:rFonts w:ascii="Times New Roman" w:hAnsi="Times New Roman"/>
          <w:bCs/>
        </w:rPr>
      </w:pPr>
      <w:r w:rsidRPr="00D965D0">
        <w:rPr>
          <w:rFonts w:ascii="Times New Roman" w:hAnsi="Times New Roman"/>
          <w:bCs/>
        </w:rPr>
        <w:t>Overall, the vast majority of the ordinances use LEED certified or silver or both as the required standards for commercial construction.</w:t>
      </w:r>
    </w:p>
    <w:p w:rsidR="00DF59EE" w:rsidRPr="00D965D0" w:rsidRDefault="00DF59EE" w:rsidP="00D965D0">
      <w:pPr>
        <w:spacing w:line="360" w:lineRule="auto"/>
        <w:rPr>
          <w:rFonts w:ascii="Times New Roman" w:hAnsi="Times New Roman"/>
          <w:bCs/>
        </w:rPr>
      </w:pPr>
    </w:p>
    <w:p w:rsidR="00DF59EE" w:rsidRPr="00D965D0" w:rsidRDefault="00DF59EE" w:rsidP="00D965D0">
      <w:pPr>
        <w:spacing w:line="360" w:lineRule="auto"/>
        <w:ind w:firstLine="720"/>
        <w:rPr>
          <w:rFonts w:ascii="Times New Roman" w:hAnsi="Times New Roman"/>
          <w:bCs/>
          <w:i/>
          <w:iCs/>
        </w:rPr>
      </w:pPr>
      <w:r w:rsidRPr="00D965D0">
        <w:rPr>
          <w:rFonts w:ascii="Times New Roman" w:hAnsi="Times New Roman"/>
          <w:bCs/>
          <w:i/>
          <w:iCs/>
        </w:rPr>
        <w:t>Residential</w:t>
      </w:r>
    </w:p>
    <w:p w:rsidR="00DF59EE" w:rsidRPr="00D965D0" w:rsidRDefault="00DF59EE" w:rsidP="00D965D0">
      <w:pPr>
        <w:spacing w:line="360" w:lineRule="auto"/>
        <w:ind w:left="720"/>
        <w:rPr>
          <w:rFonts w:ascii="Times New Roman" w:hAnsi="Times New Roman"/>
          <w:bCs/>
        </w:rPr>
      </w:pPr>
      <w:r w:rsidRPr="00D965D0">
        <w:rPr>
          <w:rFonts w:ascii="Times New Roman" w:hAnsi="Times New Roman"/>
          <w:bCs/>
        </w:rPr>
        <w:t>The standards used in the private ordinances for residential construction are more varied. There is a divergence between ordinances that only regulate residential construction and ordinances that regulate some residential construction and some commercial construction.</w:t>
      </w:r>
    </w:p>
    <w:p w:rsidR="00DF59EE" w:rsidRPr="00D965D0" w:rsidRDefault="00DF59EE" w:rsidP="00D965D0">
      <w:pPr>
        <w:spacing w:line="360" w:lineRule="auto"/>
        <w:ind w:left="720"/>
        <w:rPr>
          <w:rFonts w:ascii="Times New Roman" w:hAnsi="Times New Roman"/>
          <w:bCs/>
        </w:rPr>
      </w:pPr>
    </w:p>
    <w:p w:rsidR="00DF59EE" w:rsidRPr="00D965D0" w:rsidRDefault="00DF59EE" w:rsidP="00EB1ED5">
      <w:pPr>
        <w:spacing w:line="360" w:lineRule="auto"/>
        <w:ind w:left="720"/>
        <w:rPr>
          <w:rFonts w:ascii="Times New Roman" w:hAnsi="Times New Roman"/>
          <w:bCs/>
        </w:rPr>
      </w:pPr>
      <w:r w:rsidRPr="00D965D0">
        <w:rPr>
          <w:rFonts w:ascii="Times New Roman" w:hAnsi="Times New Roman"/>
          <w:bCs/>
        </w:rPr>
        <w:t>For ordinances that only regulate residential construction, the most common standards are Energy Star with 16 ordinances, and GreenPoint Rated with 20 ordinances. Most of the Energy Star ordinances require a certain Home Energy Rating System, or HERS score, the most common being 84</w:t>
      </w:r>
      <w:r>
        <w:rPr>
          <w:rStyle w:val="FootnoteReference"/>
          <w:rFonts w:ascii="Times New Roman" w:hAnsi="Times New Roman"/>
          <w:bCs/>
        </w:rPr>
        <w:footnoteReference w:id="25"/>
      </w:r>
      <w:r w:rsidRPr="00D965D0">
        <w:rPr>
          <w:rFonts w:ascii="Times New Roman" w:hAnsi="Times New Roman"/>
          <w:bCs/>
        </w:rPr>
        <w:t>. The ordinances using GreenPoint Rated, a green building rating system developed in California and similar to LEED, mostly require 50 points</w:t>
      </w:r>
      <w:r>
        <w:rPr>
          <w:rStyle w:val="FootnoteReference"/>
          <w:rFonts w:ascii="Times New Roman" w:hAnsi="Times New Roman"/>
          <w:bCs/>
        </w:rPr>
        <w:footnoteReference w:id="26"/>
      </w:r>
      <w:r w:rsidRPr="00D965D0">
        <w:rPr>
          <w:rFonts w:ascii="Times New Roman" w:hAnsi="Times New Roman"/>
          <w:bCs/>
        </w:rPr>
        <w:t>. Some of the GreenPoint Rated standards have tiered point requirements based on the size of the building and many have lower point requirements for remodels and additions.</w:t>
      </w:r>
      <w:r>
        <w:rPr>
          <w:rStyle w:val="FootnoteReference"/>
          <w:rFonts w:ascii="Times New Roman" w:hAnsi="Times New Roman"/>
          <w:bCs/>
        </w:rPr>
        <w:footnoteReference w:id="27"/>
      </w:r>
      <w:r w:rsidRPr="00D965D0">
        <w:rPr>
          <w:rFonts w:ascii="Times New Roman" w:hAnsi="Times New Roman"/>
          <w:bCs/>
        </w:rPr>
        <w:t xml:space="preserve"> Four of the ordinances require LEED certified as an alternative to GreenPoint Rated.</w:t>
      </w:r>
    </w:p>
    <w:p w:rsidR="00DF59EE" w:rsidRPr="00D965D0" w:rsidRDefault="00DF59EE" w:rsidP="00D965D0">
      <w:pPr>
        <w:spacing w:line="360" w:lineRule="auto"/>
        <w:rPr>
          <w:rFonts w:ascii="Times New Roman" w:hAnsi="Times New Roman"/>
          <w:bCs/>
        </w:rPr>
      </w:pPr>
    </w:p>
    <w:p w:rsidR="00DF59EE" w:rsidRPr="00D965D0" w:rsidRDefault="00DF59EE" w:rsidP="00B45B7B">
      <w:pPr>
        <w:spacing w:line="360" w:lineRule="auto"/>
        <w:ind w:left="720"/>
        <w:rPr>
          <w:rFonts w:ascii="Times New Roman" w:hAnsi="Times New Roman"/>
          <w:bCs/>
        </w:rPr>
      </w:pPr>
      <w:r w:rsidRPr="00D965D0">
        <w:rPr>
          <w:rFonts w:ascii="Times New Roman" w:hAnsi="Times New Roman"/>
          <w:bCs/>
        </w:rPr>
        <w:t xml:space="preserve">For </w:t>
      </w:r>
      <w:r>
        <w:rPr>
          <w:rFonts w:ascii="Times New Roman" w:hAnsi="Times New Roman"/>
          <w:bCs/>
        </w:rPr>
        <w:t xml:space="preserve">the ten </w:t>
      </w:r>
      <w:r w:rsidRPr="00D965D0">
        <w:rPr>
          <w:rFonts w:ascii="Times New Roman" w:hAnsi="Times New Roman"/>
          <w:bCs/>
        </w:rPr>
        <w:t xml:space="preserve">ordinances that cover some types of residential construction and some commercial construction, LEED certified is the most common standard required. These ordinances tend to cover commercial construction and multi-family residential construction but not single family homes. </w:t>
      </w:r>
    </w:p>
    <w:p w:rsidR="00DF59EE" w:rsidRPr="00D965D0" w:rsidRDefault="00DF59EE" w:rsidP="00D965D0">
      <w:pPr>
        <w:spacing w:line="360" w:lineRule="auto"/>
        <w:ind w:left="720"/>
        <w:rPr>
          <w:rFonts w:ascii="Times New Roman" w:hAnsi="Times New Roman"/>
          <w:bCs/>
        </w:rPr>
      </w:pPr>
    </w:p>
    <w:p w:rsidR="00DF59EE" w:rsidRPr="00D965D0" w:rsidRDefault="00DF59EE" w:rsidP="00D965D0">
      <w:pPr>
        <w:spacing w:line="360" w:lineRule="auto"/>
        <w:ind w:left="720"/>
        <w:rPr>
          <w:rFonts w:ascii="Times New Roman" w:hAnsi="Times New Roman"/>
          <w:bCs/>
        </w:rPr>
      </w:pPr>
      <w:r w:rsidRPr="00D965D0">
        <w:rPr>
          <w:rFonts w:ascii="Times New Roman" w:hAnsi="Times New Roman"/>
          <w:bCs/>
        </w:rPr>
        <w:t>There are a few ordinances that use other green building standards such as Green Globes, Earth Craft, Earth Advantage, and other local programs.</w:t>
      </w:r>
      <w:r>
        <w:rPr>
          <w:rStyle w:val="FootnoteReference"/>
          <w:rFonts w:ascii="Times New Roman" w:hAnsi="Times New Roman"/>
          <w:bCs/>
        </w:rPr>
        <w:footnoteReference w:id="28"/>
      </w:r>
      <w:r w:rsidRPr="00D965D0">
        <w:rPr>
          <w:rFonts w:ascii="Times New Roman" w:hAnsi="Times New Roman"/>
          <w:bCs/>
        </w:rPr>
        <w:t xml:space="preserve"> </w:t>
      </w:r>
    </w:p>
    <w:p w:rsidR="00DF59EE" w:rsidRPr="00D965D0" w:rsidRDefault="00DF59EE" w:rsidP="00D965D0">
      <w:pPr>
        <w:spacing w:line="360" w:lineRule="auto"/>
        <w:rPr>
          <w:rFonts w:ascii="Times New Roman" w:hAnsi="Times New Roman"/>
          <w:bCs/>
        </w:rPr>
      </w:pPr>
    </w:p>
    <w:p w:rsidR="00DF59EE" w:rsidRPr="00D965D0" w:rsidRDefault="00DF59EE" w:rsidP="00D965D0">
      <w:pPr>
        <w:spacing w:line="360" w:lineRule="auto"/>
        <w:rPr>
          <w:rFonts w:ascii="Times New Roman" w:hAnsi="Times New Roman"/>
        </w:rPr>
      </w:pPr>
      <w:r>
        <w:rPr>
          <w:rFonts w:ascii="Times New Roman" w:hAnsi="Times New Roman"/>
        </w:rPr>
        <w:t>O</w:t>
      </w:r>
      <w:r w:rsidRPr="00D965D0">
        <w:rPr>
          <w:rFonts w:ascii="Times New Roman" w:hAnsi="Times New Roman"/>
        </w:rPr>
        <w:t xml:space="preserve">ver half of the ordinances require third party certification </w:t>
      </w:r>
      <w:r>
        <w:rPr>
          <w:rFonts w:ascii="Times New Roman" w:hAnsi="Times New Roman"/>
        </w:rPr>
        <w:t xml:space="preserve">rather than mere certifiability, </w:t>
      </w:r>
      <w:r w:rsidRPr="00D965D0">
        <w:rPr>
          <w:rFonts w:ascii="Times New Roman" w:hAnsi="Times New Roman"/>
        </w:rPr>
        <w:t xml:space="preserve">even though this presents legal problems. </w:t>
      </w:r>
    </w:p>
    <w:p w:rsidR="00DF59EE" w:rsidRPr="00D965D0" w:rsidRDefault="00DF59EE" w:rsidP="00D965D0">
      <w:pPr>
        <w:spacing w:line="360" w:lineRule="auto"/>
        <w:rPr>
          <w:rFonts w:ascii="Times New Roman" w:hAnsi="Times New Roman"/>
          <w:u w:val="single"/>
        </w:rPr>
      </w:pPr>
    </w:p>
    <w:p w:rsidR="00DF59EE" w:rsidRPr="00D965D0" w:rsidRDefault="00DF59EE" w:rsidP="00D965D0">
      <w:pPr>
        <w:spacing w:line="360" w:lineRule="auto"/>
        <w:rPr>
          <w:rFonts w:ascii="Times New Roman" w:hAnsi="Times New Roman"/>
          <w:u w:val="single"/>
        </w:rPr>
      </w:pPr>
      <w:r w:rsidRPr="00D965D0">
        <w:rPr>
          <w:rFonts w:ascii="Times New Roman" w:hAnsi="Times New Roman"/>
          <w:u w:val="single"/>
        </w:rPr>
        <w:t>Version</w:t>
      </w:r>
    </w:p>
    <w:p w:rsidR="00DF59EE" w:rsidRPr="00D965D0" w:rsidRDefault="00DF59EE" w:rsidP="00D965D0">
      <w:pPr>
        <w:spacing w:line="360" w:lineRule="auto"/>
        <w:rPr>
          <w:rFonts w:ascii="Times New Roman" w:hAnsi="Times New Roman"/>
        </w:rPr>
      </w:pPr>
      <w:r w:rsidRPr="00D965D0">
        <w:rPr>
          <w:rFonts w:ascii="Times New Roman" w:hAnsi="Times New Roman"/>
        </w:rPr>
        <w:t>Almost 60% of the 61 ordinances do not indicate which version of the standard applies. Of the 22 ordinances that do specify a version, over half use the most recent version and the rest specify a particular version of the standard such as LEED 2.2 or GreenPoint Rated 2007.</w:t>
      </w:r>
    </w:p>
    <w:p w:rsidR="00DF59EE" w:rsidRPr="00D965D0" w:rsidRDefault="00DF59EE" w:rsidP="00D965D0">
      <w:pPr>
        <w:spacing w:line="360" w:lineRule="auto"/>
        <w:rPr>
          <w:rFonts w:ascii="Times New Roman" w:hAnsi="Times New Roman"/>
          <w:u w:val="single"/>
        </w:rPr>
      </w:pPr>
    </w:p>
    <w:p w:rsidR="00DF59EE" w:rsidRPr="00BD60DB" w:rsidRDefault="00DF59EE" w:rsidP="00D965D0">
      <w:pPr>
        <w:spacing w:line="360" w:lineRule="auto"/>
        <w:rPr>
          <w:rFonts w:ascii="Times New Roman" w:hAnsi="Times New Roman"/>
          <w:u w:val="single"/>
        </w:rPr>
      </w:pPr>
      <w:r w:rsidRPr="00D965D0">
        <w:rPr>
          <w:rFonts w:ascii="Times New Roman" w:hAnsi="Times New Roman"/>
          <w:u w:val="single"/>
        </w:rPr>
        <w:t>Additional requirements</w:t>
      </w:r>
    </w:p>
    <w:p w:rsidR="00DF59EE" w:rsidRPr="00D965D0" w:rsidRDefault="00DF59EE" w:rsidP="00D965D0">
      <w:pPr>
        <w:spacing w:line="360" w:lineRule="auto"/>
        <w:rPr>
          <w:rFonts w:ascii="Times New Roman" w:hAnsi="Times New Roman"/>
        </w:rPr>
      </w:pPr>
      <w:r w:rsidRPr="00D965D0">
        <w:rPr>
          <w:rFonts w:ascii="Times New Roman" w:hAnsi="Times New Roman"/>
        </w:rPr>
        <w:t xml:space="preserve">As with the public ordinances, only a handful of municipalities choose to impose requirements beyond the required </w:t>
      </w:r>
      <w:r>
        <w:rPr>
          <w:rFonts w:ascii="Times New Roman" w:hAnsi="Times New Roman"/>
        </w:rPr>
        <w:t xml:space="preserve">green building </w:t>
      </w:r>
      <w:r w:rsidRPr="00D965D0">
        <w:rPr>
          <w:rFonts w:ascii="Times New Roman" w:hAnsi="Times New Roman"/>
        </w:rPr>
        <w:t>standard. As with the public ordinances, the most common additional requirement is energy use reduction</w:t>
      </w:r>
      <w:r>
        <w:rPr>
          <w:rFonts w:ascii="Times New Roman" w:hAnsi="Times New Roman"/>
        </w:rPr>
        <w:t>,</w:t>
      </w:r>
      <w:r w:rsidRPr="00D965D0">
        <w:rPr>
          <w:rFonts w:ascii="Times New Roman" w:hAnsi="Times New Roman"/>
        </w:rPr>
        <w:t xml:space="preserve"> which is required by 10 of the 61 municipalities.</w:t>
      </w:r>
      <w:r>
        <w:rPr>
          <w:rStyle w:val="FootnoteReference"/>
          <w:rFonts w:ascii="Times New Roman" w:hAnsi="Times New Roman"/>
        </w:rPr>
        <w:footnoteReference w:id="29"/>
      </w:r>
      <w:r w:rsidRPr="00D965D0">
        <w:rPr>
          <w:rFonts w:ascii="Times New Roman" w:hAnsi="Times New Roman"/>
        </w:rPr>
        <w:t xml:space="preserve"> </w:t>
      </w:r>
    </w:p>
    <w:p w:rsidR="00DF59EE" w:rsidRPr="00D965D0" w:rsidRDefault="00DF59EE" w:rsidP="00D965D0">
      <w:pPr>
        <w:spacing w:line="360" w:lineRule="auto"/>
        <w:rPr>
          <w:rFonts w:ascii="Times New Roman" w:hAnsi="Times New Roman"/>
        </w:rPr>
      </w:pPr>
    </w:p>
    <w:p w:rsidR="00DF59EE" w:rsidRPr="00D965D0" w:rsidRDefault="00DF59EE" w:rsidP="00D965D0">
      <w:pPr>
        <w:spacing w:line="360" w:lineRule="auto"/>
        <w:rPr>
          <w:rFonts w:ascii="Times New Roman" w:hAnsi="Times New Roman"/>
        </w:rPr>
      </w:pPr>
      <w:r w:rsidRPr="00D965D0">
        <w:rPr>
          <w:rFonts w:ascii="Times New Roman" w:hAnsi="Times New Roman"/>
        </w:rPr>
        <w:t>Three municipalities require the building to achieve specific LEED credits to address particular environmental problems such as water usage.</w:t>
      </w:r>
      <w:r>
        <w:rPr>
          <w:rStyle w:val="FootnoteReference"/>
          <w:rFonts w:ascii="Times New Roman" w:hAnsi="Times New Roman"/>
        </w:rPr>
        <w:footnoteReference w:id="30"/>
      </w:r>
      <w:r w:rsidRPr="00D965D0">
        <w:rPr>
          <w:rFonts w:ascii="Times New Roman" w:hAnsi="Times New Roman"/>
        </w:rPr>
        <w:t xml:space="preserve"> Two municipalities have specific requirements that buildings covered by the ordinance must meet.</w:t>
      </w:r>
      <w:r>
        <w:rPr>
          <w:rStyle w:val="FootnoteReference"/>
          <w:rFonts w:ascii="Times New Roman" w:hAnsi="Times New Roman"/>
        </w:rPr>
        <w:footnoteReference w:id="31"/>
      </w:r>
      <w:r w:rsidRPr="00D965D0">
        <w:rPr>
          <w:rFonts w:ascii="Times New Roman" w:hAnsi="Times New Roman"/>
        </w:rPr>
        <w:t xml:space="preserve"> </w:t>
      </w:r>
    </w:p>
    <w:p w:rsidR="00DF59EE" w:rsidRPr="00D965D0" w:rsidRDefault="00DF59EE" w:rsidP="00D965D0">
      <w:pPr>
        <w:spacing w:line="360" w:lineRule="auto"/>
        <w:rPr>
          <w:rFonts w:ascii="Times New Roman" w:hAnsi="Times New Roman"/>
          <w:u w:val="single"/>
        </w:rPr>
      </w:pPr>
    </w:p>
    <w:p w:rsidR="00DF59EE" w:rsidRPr="00BD60DB" w:rsidRDefault="00DF59EE" w:rsidP="00D965D0">
      <w:pPr>
        <w:spacing w:line="360" w:lineRule="auto"/>
        <w:rPr>
          <w:rFonts w:ascii="Times New Roman" w:hAnsi="Times New Roman"/>
          <w:u w:val="single"/>
        </w:rPr>
      </w:pPr>
      <w:r w:rsidRPr="00F409F5">
        <w:rPr>
          <w:rFonts w:ascii="Times New Roman" w:hAnsi="Times New Roman"/>
          <w:u w:val="single"/>
        </w:rPr>
        <w:t>Special features</w:t>
      </w:r>
    </w:p>
    <w:p w:rsidR="00DF59EE" w:rsidRPr="00D965D0" w:rsidRDefault="00DF59EE" w:rsidP="00D965D0">
      <w:pPr>
        <w:spacing w:line="360" w:lineRule="auto"/>
        <w:rPr>
          <w:rFonts w:ascii="Times New Roman" w:hAnsi="Times New Roman"/>
        </w:rPr>
      </w:pPr>
      <w:r>
        <w:rPr>
          <w:rFonts w:ascii="Times New Roman" w:hAnsi="Times New Roman"/>
        </w:rPr>
        <w:t>Eight</w:t>
      </w:r>
      <w:r w:rsidRPr="00D965D0">
        <w:rPr>
          <w:rFonts w:ascii="Times New Roman" w:hAnsi="Times New Roman"/>
        </w:rPr>
        <w:t xml:space="preserve"> of the ordinances require applicants to pay a green building fee. Four ordinances charge fees based on square footage, ranging from $0.002 to $1 per square foot.</w:t>
      </w:r>
      <w:r>
        <w:rPr>
          <w:rStyle w:val="FootnoteReference"/>
          <w:rFonts w:ascii="Times New Roman" w:hAnsi="Times New Roman"/>
        </w:rPr>
        <w:footnoteReference w:id="32"/>
      </w:r>
      <w:r w:rsidRPr="00D965D0">
        <w:rPr>
          <w:rFonts w:ascii="Times New Roman" w:hAnsi="Times New Roman"/>
        </w:rPr>
        <w:t xml:space="preserve"> Two have fees set by the city council and one has a fee of $200-$300 based on the type of residential construction.</w:t>
      </w:r>
      <w:r>
        <w:rPr>
          <w:rStyle w:val="FootnoteReference"/>
          <w:rFonts w:ascii="Times New Roman" w:hAnsi="Times New Roman"/>
        </w:rPr>
        <w:footnoteReference w:id="33"/>
      </w:r>
      <w:r w:rsidRPr="00D965D0">
        <w:rPr>
          <w:rFonts w:ascii="Times New Roman" w:hAnsi="Times New Roman"/>
        </w:rPr>
        <w:t xml:space="preserve"> The Greenburgh fee is refunded if the building receives L</w:t>
      </w:r>
      <w:r>
        <w:rPr>
          <w:rFonts w:ascii="Times New Roman" w:hAnsi="Times New Roman"/>
        </w:rPr>
        <w:t>EED certification from the USGBC</w:t>
      </w:r>
      <w:r w:rsidRPr="00D965D0">
        <w:rPr>
          <w:rFonts w:ascii="Times New Roman" w:hAnsi="Times New Roman"/>
        </w:rPr>
        <w:t>.</w:t>
      </w:r>
      <w:r>
        <w:rPr>
          <w:rFonts w:ascii="Times New Roman" w:hAnsi="Times New Roman"/>
        </w:rPr>
        <w:t xml:space="preserve"> Portland requires a deposit of $10,000 which is returned if the developer makes a good faith effort to comply with the green building guidelines.</w:t>
      </w:r>
      <w:r>
        <w:rPr>
          <w:rStyle w:val="FootnoteReference"/>
          <w:rFonts w:ascii="Times New Roman" w:hAnsi="Times New Roman"/>
        </w:rPr>
        <w:footnoteReference w:id="34"/>
      </w:r>
      <w:r>
        <w:rPr>
          <w:rFonts w:ascii="Times New Roman" w:hAnsi="Times New Roman"/>
        </w:rPr>
        <w:t xml:space="preserve"> Thus both the Portland and Greenburgh fees act as enforcement mechanisms for the green building program. </w:t>
      </w:r>
      <w:r w:rsidRPr="00D965D0">
        <w:rPr>
          <w:rFonts w:ascii="Times New Roman" w:hAnsi="Times New Roman"/>
        </w:rPr>
        <w:t>Taos, NM allows the applicant to pay a fee in lieu of complying with the ordinance.</w:t>
      </w:r>
    </w:p>
    <w:p w:rsidR="00DF59EE" w:rsidRPr="00D965D0" w:rsidRDefault="00DF59EE" w:rsidP="00D965D0">
      <w:pPr>
        <w:spacing w:line="360" w:lineRule="auto"/>
        <w:rPr>
          <w:rFonts w:ascii="Times New Roman" w:hAnsi="Times New Roman"/>
        </w:rPr>
      </w:pPr>
    </w:p>
    <w:p w:rsidR="00DF59EE" w:rsidRPr="00D965D0" w:rsidRDefault="00DF59EE" w:rsidP="00D965D0">
      <w:pPr>
        <w:spacing w:line="360" w:lineRule="auto"/>
        <w:rPr>
          <w:rFonts w:ascii="Times New Roman" w:hAnsi="Times New Roman"/>
        </w:rPr>
      </w:pPr>
      <w:r w:rsidRPr="00D965D0">
        <w:rPr>
          <w:rFonts w:ascii="Times New Roman" w:hAnsi="Times New Roman"/>
        </w:rPr>
        <w:t xml:space="preserve">Two ordinances reduce the number of LEED and GreenPoint Rated points that are required if the builder maintains an existing structure, and increase the number of points required if the builder demolishes the existing structure. These ordinances also reduce </w:t>
      </w:r>
      <w:r>
        <w:rPr>
          <w:rFonts w:ascii="Times New Roman" w:hAnsi="Times New Roman"/>
        </w:rPr>
        <w:t>or</w:t>
      </w:r>
      <w:r w:rsidRPr="00D965D0">
        <w:rPr>
          <w:rFonts w:ascii="Times New Roman" w:hAnsi="Times New Roman"/>
        </w:rPr>
        <w:t xml:space="preserve"> increase the number of points required by a greater margin when the building at issue is a historic structure.</w:t>
      </w:r>
      <w:r>
        <w:rPr>
          <w:rStyle w:val="FootnoteReference"/>
          <w:rFonts w:ascii="Times New Roman" w:hAnsi="Times New Roman"/>
        </w:rPr>
        <w:footnoteReference w:id="35"/>
      </w:r>
      <w:r w:rsidRPr="00D965D0">
        <w:rPr>
          <w:rFonts w:ascii="Times New Roman" w:hAnsi="Times New Roman"/>
        </w:rPr>
        <w:t xml:space="preserve"> </w:t>
      </w:r>
    </w:p>
    <w:p w:rsidR="00DF59EE" w:rsidRPr="00D965D0" w:rsidRDefault="00DF59EE" w:rsidP="00D965D0">
      <w:pPr>
        <w:spacing w:line="360" w:lineRule="auto"/>
        <w:rPr>
          <w:rFonts w:ascii="Times New Roman" w:hAnsi="Times New Roman"/>
        </w:rPr>
      </w:pPr>
    </w:p>
    <w:p w:rsidR="00DF59EE" w:rsidRPr="00D965D0" w:rsidRDefault="00DF59EE" w:rsidP="00D965D0">
      <w:pPr>
        <w:spacing w:line="360" w:lineRule="auto"/>
        <w:rPr>
          <w:rFonts w:ascii="Times New Roman" w:hAnsi="Times New Roman"/>
        </w:rPr>
      </w:pPr>
      <w:r w:rsidRPr="00D965D0">
        <w:rPr>
          <w:rFonts w:ascii="Times New Roman" w:hAnsi="Times New Roman"/>
        </w:rPr>
        <w:t xml:space="preserve">Normal, IL makes its ordinance applicable only in the central business district. </w:t>
      </w:r>
    </w:p>
    <w:p w:rsidR="00DF59EE" w:rsidRPr="00D965D0" w:rsidRDefault="00DF59EE" w:rsidP="00D965D0">
      <w:pPr>
        <w:spacing w:line="360" w:lineRule="auto"/>
        <w:rPr>
          <w:rFonts w:ascii="Times New Roman" w:hAnsi="Times New Roman"/>
          <w:u w:val="single"/>
        </w:rPr>
      </w:pPr>
    </w:p>
    <w:p w:rsidR="00DF59EE" w:rsidRPr="00D965D0" w:rsidRDefault="00DF59EE" w:rsidP="00D965D0">
      <w:pPr>
        <w:spacing w:line="360" w:lineRule="auto"/>
        <w:rPr>
          <w:rFonts w:ascii="Times New Roman" w:hAnsi="Times New Roman"/>
          <w:u w:val="single"/>
        </w:rPr>
      </w:pPr>
      <w:r w:rsidRPr="00D965D0">
        <w:rPr>
          <w:rFonts w:ascii="Times New Roman" w:hAnsi="Times New Roman"/>
          <w:u w:val="single"/>
        </w:rPr>
        <w:t>Exemptions</w:t>
      </w:r>
    </w:p>
    <w:p w:rsidR="00DF59EE" w:rsidRPr="00D965D0" w:rsidRDefault="00DF59EE" w:rsidP="00B45B7B">
      <w:pPr>
        <w:spacing w:line="360" w:lineRule="auto"/>
        <w:rPr>
          <w:rFonts w:ascii="Times New Roman" w:hAnsi="Times New Roman"/>
        </w:rPr>
      </w:pPr>
      <w:r w:rsidRPr="00D965D0">
        <w:rPr>
          <w:rFonts w:ascii="Times New Roman" w:hAnsi="Times New Roman"/>
        </w:rPr>
        <w:t xml:space="preserve">Over half of the ordinances include some exemption with the </w:t>
      </w:r>
      <w:r>
        <w:rPr>
          <w:rFonts w:ascii="Times New Roman" w:hAnsi="Times New Roman"/>
        </w:rPr>
        <w:t>majority</w:t>
      </w:r>
      <w:r w:rsidRPr="00D965D0">
        <w:rPr>
          <w:rFonts w:ascii="Times New Roman" w:hAnsi="Times New Roman"/>
        </w:rPr>
        <w:t xml:space="preserve"> exempt</w:t>
      </w:r>
      <w:r>
        <w:rPr>
          <w:rFonts w:ascii="Times New Roman" w:hAnsi="Times New Roman"/>
        </w:rPr>
        <w:t>ing</w:t>
      </w:r>
      <w:r w:rsidRPr="00D965D0">
        <w:rPr>
          <w:rFonts w:ascii="Times New Roman" w:hAnsi="Times New Roman"/>
        </w:rPr>
        <w:t xml:space="preserve"> buildings for hardship or infeasibility.  Nine ordinances exempt historic structures, 6 exempt certain repairs such as seismic retrofits and handicap upgrades, and 2 exempt compliance if it would be impractical or unduly burdensome. </w:t>
      </w:r>
    </w:p>
    <w:p w:rsidR="00DF59EE" w:rsidRPr="00D965D0" w:rsidRDefault="00DF59EE" w:rsidP="00D965D0">
      <w:pPr>
        <w:spacing w:line="360" w:lineRule="auto"/>
        <w:rPr>
          <w:rFonts w:ascii="Times New Roman" w:hAnsi="Times New Roman"/>
        </w:rPr>
      </w:pPr>
    </w:p>
    <w:p w:rsidR="00DF59EE" w:rsidRPr="00D965D0" w:rsidRDefault="00DF59EE" w:rsidP="00D965D0">
      <w:pPr>
        <w:spacing w:line="360" w:lineRule="auto"/>
        <w:rPr>
          <w:rFonts w:ascii="Times New Roman" w:hAnsi="Times New Roman"/>
        </w:rPr>
      </w:pPr>
      <w:r w:rsidRPr="00D965D0">
        <w:rPr>
          <w:rFonts w:ascii="Times New Roman" w:hAnsi="Times New Roman"/>
        </w:rPr>
        <w:t>Only one of the ordinances that exempts projects for impracticality specifies what constitutes impracticality. Builders can apply for a waiver of the green building requirements based on a finding that unique physical characteristics of the property or project make compliance impracticable. Financial hardship of meeting LEED cannot be the sole basis for granting a waiver.</w:t>
      </w:r>
      <w:r>
        <w:rPr>
          <w:rStyle w:val="FootnoteReference"/>
          <w:rFonts w:ascii="Times New Roman" w:hAnsi="Times New Roman"/>
        </w:rPr>
        <w:footnoteReference w:id="36"/>
      </w:r>
      <w:r w:rsidRPr="00D965D0">
        <w:rPr>
          <w:rFonts w:ascii="Times New Roman" w:hAnsi="Times New Roman"/>
        </w:rPr>
        <w:t xml:space="preserve"> </w:t>
      </w:r>
      <w:r>
        <w:rPr>
          <w:rFonts w:ascii="Times New Roman" w:hAnsi="Times New Roman"/>
        </w:rPr>
        <w:t>Two</w:t>
      </w:r>
      <w:r w:rsidRPr="00D965D0">
        <w:rPr>
          <w:rFonts w:ascii="Times New Roman" w:hAnsi="Times New Roman"/>
        </w:rPr>
        <w:t xml:space="preserve"> ordinance</w:t>
      </w:r>
      <w:r>
        <w:rPr>
          <w:rFonts w:ascii="Times New Roman" w:hAnsi="Times New Roman"/>
        </w:rPr>
        <w:t>s take</w:t>
      </w:r>
      <w:r w:rsidRPr="00D965D0">
        <w:rPr>
          <w:rFonts w:ascii="Times New Roman" w:hAnsi="Times New Roman"/>
        </w:rPr>
        <w:t xml:space="preserve"> cost into consideration in exempting buildings from compliance.</w:t>
      </w:r>
    </w:p>
    <w:p w:rsidR="00DF59EE" w:rsidRPr="00D965D0" w:rsidRDefault="00DF59EE" w:rsidP="00D965D0">
      <w:pPr>
        <w:spacing w:line="360" w:lineRule="auto"/>
        <w:rPr>
          <w:rFonts w:ascii="Times New Roman" w:hAnsi="Times New Roman"/>
        </w:rPr>
      </w:pPr>
    </w:p>
    <w:p w:rsidR="00DF59EE" w:rsidRPr="00D965D0" w:rsidRDefault="00DF59EE" w:rsidP="00D965D0">
      <w:pPr>
        <w:spacing w:line="360" w:lineRule="auto"/>
        <w:rPr>
          <w:rFonts w:ascii="Times New Roman" w:hAnsi="Times New Roman"/>
          <w:u w:val="single"/>
        </w:rPr>
      </w:pPr>
      <w:r w:rsidRPr="00D965D0">
        <w:rPr>
          <w:rFonts w:ascii="Times New Roman" w:hAnsi="Times New Roman"/>
          <w:u w:val="single"/>
        </w:rPr>
        <w:t>Compliance process</w:t>
      </w:r>
    </w:p>
    <w:p w:rsidR="00DF59EE" w:rsidRPr="00D965D0" w:rsidRDefault="00DF59EE" w:rsidP="00B92837">
      <w:pPr>
        <w:spacing w:line="360" w:lineRule="auto"/>
        <w:rPr>
          <w:rFonts w:ascii="Times New Roman" w:hAnsi="Times New Roman"/>
        </w:rPr>
      </w:pPr>
      <w:r w:rsidRPr="00D965D0">
        <w:rPr>
          <w:rFonts w:ascii="Times New Roman" w:hAnsi="Times New Roman"/>
        </w:rPr>
        <w:t xml:space="preserve">The majority of the municipalities delineate a process </w:t>
      </w:r>
      <w:r>
        <w:rPr>
          <w:rFonts w:ascii="Times New Roman" w:hAnsi="Times New Roman"/>
        </w:rPr>
        <w:t>in the ordinance</w:t>
      </w:r>
      <w:r w:rsidRPr="00D965D0">
        <w:rPr>
          <w:rFonts w:ascii="Times New Roman" w:hAnsi="Times New Roman"/>
        </w:rPr>
        <w:t xml:space="preserve"> for meeting the green building requirement</w:t>
      </w:r>
      <w:r>
        <w:rPr>
          <w:rFonts w:ascii="Times New Roman" w:hAnsi="Times New Roman"/>
        </w:rPr>
        <w:t>s</w:t>
      </w:r>
      <w:r w:rsidRPr="00D965D0">
        <w:rPr>
          <w:rFonts w:ascii="Times New Roman" w:hAnsi="Times New Roman"/>
        </w:rPr>
        <w:t xml:space="preserve">. The process in most of the ordinances is similar and generally requires the applicant for a building permit to submit documentation, usually including a checklist or scorecard, showing the points they will achieve towards the standard. </w:t>
      </w:r>
      <w:r>
        <w:rPr>
          <w:rFonts w:ascii="Times New Roman" w:hAnsi="Times New Roman"/>
        </w:rPr>
        <w:t>Most</w:t>
      </w:r>
      <w:r w:rsidRPr="00D965D0">
        <w:rPr>
          <w:rFonts w:ascii="Times New Roman" w:hAnsi="Times New Roman"/>
        </w:rPr>
        <w:t xml:space="preserve"> </w:t>
      </w:r>
      <w:r>
        <w:rPr>
          <w:rFonts w:ascii="Times New Roman" w:hAnsi="Times New Roman"/>
        </w:rPr>
        <w:t xml:space="preserve">of </w:t>
      </w:r>
      <w:r w:rsidRPr="00D965D0">
        <w:rPr>
          <w:rFonts w:ascii="Times New Roman" w:hAnsi="Times New Roman"/>
        </w:rPr>
        <w:t xml:space="preserve">the municipalities </w:t>
      </w:r>
      <w:r>
        <w:rPr>
          <w:rFonts w:ascii="Times New Roman" w:hAnsi="Times New Roman"/>
        </w:rPr>
        <w:t>require</w:t>
      </w:r>
      <w:r w:rsidRPr="00D965D0">
        <w:rPr>
          <w:rFonts w:ascii="Times New Roman" w:hAnsi="Times New Roman"/>
        </w:rPr>
        <w:t xml:space="preserve"> the </w:t>
      </w:r>
      <w:r>
        <w:rPr>
          <w:rFonts w:ascii="Times New Roman" w:hAnsi="Times New Roman"/>
        </w:rPr>
        <w:t>developer</w:t>
      </w:r>
      <w:r w:rsidRPr="00D965D0">
        <w:rPr>
          <w:rFonts w:ascii="Times New Roman" w:hAnsi="Times New Roman"/>
        </w:rPr>
        <w:t xml:space="preserve"> </w:t>
      </w:r>
      <w:r>
        <w:rPr>
          <w:rFonts w:ascii="Times New Roman" w:hAnsi="Times New Roman"/>
        </w:rPr>
        <w:t>to</w:t>
      </w:r>
      <w:r w:rsidRPr="00D965D0">
        <w:rPr>
          <w:rFonts w:ascii="Times New Roman" w:hAnsi="Times New Roman"/>
        </w:rPr>
        <w:t xml:space="preserve"> demonstrate that the building will meet the required standard before a building permit is issued.</w:t>
      </w:r>
      <w:r>
        <w:rPr>
          <w:rStyle w:val="FootnoteReference"/>
          <w:rFonts w:ascii="Times New Roman" w:hAnsi="Times New Roman"/>
        </w:rPr>
        <w:footnoteReference w:id="37"/>
      </w:r>
      <w:r w:rsidRPr="00D965D0">
        <w:rPr>
          <w:rFonts w:ascii="Times New Roman" w:hAnsi="Times New Roman"/>
        </w:rPr>
        <w:t xml:space="preserve"> </w:t>
      </w:r>
    </w:p>
    <w:p w:rsidR="00DF59EE" w:rsidRPr="00D965D0" w:rsidRDefault="00DF59EE" w:rsidP="00D965D0">
      <w:pPr>
        <w:spacing w:line="360" w:lineRule="auto"/>
        <w:rPr>
          <w:rFonts w:ascii="Times New Roman" w:hAnsi="Times New Roman"/>
        </w:rPr>
      </w:pPr>
    </w:p>
    <w:p w:rsidR="00DF59EE" w:rsidRPr="00D965D0" w:rsidRDefault="00DF59EE" w:rsidP="00D965D0">
      <w:pPr>
        <w:spacing w:line="360" w:lineRule="auto"/>
        <w:rPr>
          <w:rFonts w:ascii="Times New Roman" w:hAnsi="Times New Roman"/>
        </w:rPr>
      </w:pPr>
      <w:r w:rsidRPr="00D965D0">
        <w:rPr>
          <w:rFonts w:ascii="Times New Roman" w:hAnsi="Times New Roman"/>
          <w:u w:val="single"/>
        </w:rPr>
        <w:t>Enforcement</w:t>
      </w:r>
    </w:p>
    <w:p w:rsidR="00DF59EE" w:rsidRPr="00D965D0" w:rsidRDefault="00DF59EE" w:rsidP="00363510">
      <w:pPr>
        <w:spacing w:line="360" w:lineRule="auto"/>
        <w:rPr>
          <w:rFonts w:ascii="Times New Roman" w:hAnsi="Times New Roman"/>
        </w:rPr>
      </w:pPr>
      <w:r w:rsidRPr="00D965D0">
        <w:rPr>
          <w:rFonts w:ascii="Times New Roman" w:hAnsi="Times New Roman"/>
        </w:rPr>
        <w:t xml:space="preserve">Unlike the public ordinances, the majority of the private ordinances contain some kind of enforcement mechanism to ensure compliance. The vast majority of the </w:t>
      </w:r>
      <w:r>
        <w:rPr>
          <w:rFonts w:ascii="Times New Roman" w:hAnsi="Times New Roman"/>
        </w:rPr>
        <w:t>municipalities</w:t>
      </w:r>
      <w:r w:rsidRPr="00D965D0">
        <w:rPr>
          <w:rFonts w:ascii="Times New Roman" w:hAnsi="Times New Roman"/>
        </w:rPr>
        <w:t xml:space="preserve"> refuse to hold a final inspection or issue a final certificate of use and occupancy until it is shown that the building achieved the required standard.</w:t>
      </w:r>
      <w:r>
        <w:rPr>
          <w:rStyle w:val="FootnoteReference"/>
          <w:rFonts w:ascii="Times New Roman" w:hAnsi="Times New Roman"/>
        </w:rPr>
        <w:footnoteReference w:id="38"/>
      </w:r>
      <w:r w:rsidRPr="00D965D0">
        <w:rPr>
          <w:rFonts w:ascii="Times New Roman" w:hAnsi="Times New Roman"/>
        </w:rPr>
        <w:t xml:space="preserve">  Some municipalities accept inspections as verification that the building has achieved the standard, while others require actual certification by the USGBC or other applicable authority.</w:t>
      </w:r>
      <w:r>
        <w:rPr>
          <w:rFonts w:ascii="Times New Roman" w:hAnsi="Times New Roman"/>
        </w:rPr>
        <w:t xml:space="preserve"> </w:t>
      </w:r>
      <w:r w:rsidRPr="00D965D0">
        <w:rPr>
          <w:rFonts w:ascii="Times New Roman" w:hAnsi="Times New Roman"/>
        </w:rPr>
        <w:t>A few municipalities allow a temporary certificate of occupancy to be issued if the building is inspected and all documentation for certification has been submitted.</w:t>
      </w:r>
      <w:r>
        <w:rPr>
          <w:rStyle w:val="FootnoteReference"/>
          <w:rFonts w:ascii="Times New Roman" w:hAnsi="Times New Roman"/>
        </w:rPr>
        <w:footnoteReference w:id="39"/>
      </w:r>
      <w:r w:rsidRPr="00D965D0">
        <w:rPr>
          <w:rFonts w:ascii="Times New Roman" w:hAnsi="Times New Roman"/>
        </w:rPr>
        <w:t xml:space="preserve"> </w:t>
      </w:r>
    </w:p>
    <w:p w:rsidR="00DF59EE" w:rsidRPr="00D965D0" w:rsidRDefault="00DF59EE" w:rsidP="00D965D0">
      <w:pPr>
        <w:spacing w:line="360" w:lineRule="auto"/>
        <w:rPr>
          <w:rFonts w:ascii="Times New Roman" w:hAnsi="Times New Roman"/>
        </w:rPr>
      </w:pPr>
    </w:p>
    <w:p w:rsidR="00DF59EE" w:rsidRPr="00D965D0" w:rsidRDefault="00DF59EE" w:rsidP="00D965D0">
      <w:pPr>
        <w:spacing w:line="360" w:lineRule="auto"/>
        <w:rPr>
          <w:rFonts w:ascii="Times New Roman" w:hAnsi="Times New Roman"/>
        </w:rPr>
      </w:pPr>
      <w:r w:rsidRPr="00D965D0">
        <w:rPr>
          <w:rFonts w:ascii="Times New Roman" w:hAnsi="Times New Roman"/>
        </w:rPr>
        <w:t>In some of the municipalities that charge green building fees, the fees are refunded if the project receives certification.</w:t>
      </w:r>
      <w:r>
        <w:rPr>
          <w:rStyle w:val="FootnoteReference"/>
          <w:rFonts w:ascii="Times New Roman" w:hAnsi="Times New Roman"/>
        </w:rPr>
        <w:footnoteReference w:id="40"/>
      </w:r>
      <w:r w:rsidRPr="00D965D0">
        <w:rPr>
          <w:rFonts w:ascii="Times New Roman" w:hAnsi="Times New Roman"/>
        </w:rPr>
        <w:t xml:space="preserve"> Some municipalities set penalties for violations of the green building code in other sections of the code.</w:t>
      </w:r>
      <w:r>
        <w:rPr>
          <w:rStyle w:val="FootnoteReference"/>
          <w:rFonts w:ascii="Times New Roman" w:hAnsi="Times New Roman"/>
        </w:rPr>
        <w:footnoteReference w:id="41"/>
      </w:r>
      <w:r w:rsidRPr="00D965D0">
        <w:rPr>
          <w:rFonts w:ascii="Times New Roman" w:hAnsi="Times New Roman"/>
        </w:rPr>
        <w:t xml:space="preserve"> </w:t>
      </w:r>
    </w:p>
    <w:p w:rsidR="00DF59EE" w:rsidRPr="00D965D0" w:rsidRDefault="00DF59EE" w:rsidP="00D965D0">
      <w:pPr>
        <w:spacing w:line="360" w:lineRule="auto"/>
        <w:rPr>
          <w:rFonts w:ascii="Times New Roman" w:hAnsi="Times New Roman"/>
        </w:rPr>
      </w:pPr>
    </w:p>
    <w:p w:rsidR="00DF59EE" w:rsidRPr="00BD60DB" w:rsidRDefault="00DF59EE" w:rsidP="00D965D0">
      <w:pPr>
        <w:spacing w:line="360" w:lineRule="auto"/>
        <w:rPr>
          <w:rFonts w:ascii="Times New Roman" w:hAnsi="Times New Roman"/>
          <w:b/>
          <w:bCs/>
        </w:rPr>
      </w:pPr>
      <w:r w:rsidRPr="00D965D0">
        <w:rPr>
          <w:rFonts w:ascii="Times New Roman" w:hAnsi="Times New Roman"/>
          <w:b/>
          <w:bCs/>
        </w:rPr>
        <w:t>CONCLUSION</w:t>
      </w:r>
    </w:p>
    <w:p w:rsidR="00DF59EE" w:rsidRPr="00D965D0" w:rsidRDefault="00DF59EE" w:rsidP="00D965D0">
      <w:pPr>
        <w:spacing w:line="360" w:lineRule="auto"/>
        <w:rPr>
          <w:rFonts w:ascii="Times New Roman" w:hAnsi="Times New Roman"/>
        </w:rPr>
      </w:pPr>
      <w:r w:rsidRPr="00D965D0">
        <w:rPr>
          <w:rFonts w:ascii="Times New Roman" w:hAnsi="Times New Roman"/>
        </w:rPr>
        <w:t>This memo describes the many elements of green building ordinances.  Most of the ordinances cover both new and later construction and both commercial and residential construction. About half of the ordinances have some kind of size threshold. Most do not have a financial threshold. LEED, GreenPoint Rated, and Energy Star are the most common standards and often municipalities tie the standard to the most recent version of the rating system.</w:t>
      </w:r>
    </w:p>
    <w:p w:rsidR="00DF59EE" w:rsidRPr="00D965D0" w:rsidRDefault="00DF59EE" w:rsidP="00D965D0">
      <w:pPr>
        <w:spacing w:line="360" w:lineRule="auto"/>
        <w:rPr>
          <w:rFonts w:ascii="Times New Roman" w:hAnsi="Times New Roman"/>
        </w:rPr>
      </w:pPr>
    </w:p>
    <w:p w:rsidR="00DF59EE" w:rsidRPr="00D965D0" w:rsidRDefault="00DF59EE" w:rsidP="00D965D0">
      <w:pPr>
        <w:spacing w:line="360" w:lineRule="auto"/>
        <w:rPr>
          <w:rFonts w:ascii="Times New Roman" w:hAnsi="Times New Roman"/>
        </w:rPr>
      </w:pPr>
      <w:r w:rsidRPr="00D965D0">
        <w:rPr>
          <w:rFonts w:ascii="Times New Roman" w:hAnsi="Times New Roman"/>
        </w:rPr>
        <w:t>Very few ordinances have additional requirements or special features. Exemptions for hardship or infeasibility are common. The compliance process tends to require documentation of the points that will be achieved before a building permit is issued. Finally, enforcement is usually handled through withholding the final inspection or final certificate of occupancy and use until the green building standard is met.</w:t>
      </w:r>
    </w:p>
    <w:p w:rsidR="00DF59EE" w:rsidRPr="00D965D0" w:rsidRDefault="00DF59EE" w:rsidP="00D965D0">
      <w:pPr>
        <w:spacing w:line="360" w:lineRule="auto"/>
        <w:rPr>
          <w:rFonts w:ascii="Times New Roman" w:hAnsi="Times New Roman"/>
        </w:rPr>
      </w:pPr>
    </w:p>
    <w:sectPr w:rsidR="00DF59EE" w:rsidRPr="00D965D0" w:rsidSect="00D364AD">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F9B" w:rsidRDefault="004F4F9B" w:rsidP="00075BB1">
      <w:r>
        <w:separator/>
      </w:r>
    </w:p>
  </w:endnote>
  <w:endnote w:type="continuationSeparator" w:id="0">
    <w:p w:rsidR="004F4F9B" w:rsidRDefault="004F4F9B" w:rsidP="0007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9EE" w:rsidRDefault="000C26F2">
    <w:pPr>
      <w:pStyle w:val="Footer"/>
      <w:jc w:val="center"/>
    </w:pPr>
    <w:r>
      <w:fldChar w:fldCharType="begin"/>
    </w:r>
    <w:r>
      <w:instrText xml:space="preserve"> PAGE   \* MERGEFORMAT </w:instrText>
    </w:r>
    <w:r>
      <w:fldChar w:fldCharType="separate"/>
    </w:r>
    <w:r w:rsidR="00332FFE">
      <w:rPr>
        <w:noProof/>
      </w:rPr>
      <w:t>1</w:t>
    </w:r>
    <w:r>
      <w:rPr>
        <w:noProof/>
      </w:rPr>
      <w:fldChar w:fldCharType="end"/>
    </w:r>
  </w:p>
  <w:p w:rsidR="00DF59EE" w:rsidRDefault="00DF5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F9B" w:rsidRDefault="004F4F9B" w:rsidP="00075BB1">
      <w:r>
        <w:separator/>
      </w:r>
    </w:p>
  </w:footnote>
  <w:footnote w:type="continuationSeparator" w:id="0">
    <w:p w:rsidR="004F4F9B" w:rsidRDefault="004F4F9B" w:rsidP="00075BB1">
      <w:r>
        <w:continuationSeparator/>
      </w:r>
    </w:p>
  </w:footnote>
  <w:footnote w:id="1">
    <w:p w:rsidR="00DF59EE" w:rsidRDefault="00DF59EE" w:rsidP="00C07860">
      <w:pPr>
        <w:pStyle w:val="FootnoteText"/>
      </w:pPr>
      <w:r>
        <w:rPr>
          <w:rStyle w:val="FootnoteReference"/>
        </w:rPr>
        <w:footnoteRef/>
      </w:r>
      <w:r>
        <w:t xml:space="preserve"> </w:t>
      </w:r>
      <w:r>
        <w:rPr>
          <w:rFonts w:ascii="Times New Roman" w:hAnsi="Times New Roman"/>
        </w:rPr>
        <w:t>Bloomington, IN,</w:t>
      </w:r>
      <w:r w:rsidRPr="00D965D0">
        <w:rPr>
          <w:rFonts w:ascii="Times New Roman" w:hAnsi="Times New Roman"/>
        </w:rPr>
        <w:t xml:space="preserve"> Code </w:t>
      </w:r>
      <w:r w:rsidRPr="00D965D0">
        <w:rPr>
          <w:rFonts w:ascii="Times New Roman" w:hAnsi="Times New Roman"/>
          <w:color w:val="000000"/>
        </w:rPr>
        <w:t>§</w:t>
      </w:r>
      <w:r>
        <w:rPr>
          <w:rFonts w:ascii="Times New Roman" w:hAnsi="Times New Roman"/>
        </w:rPr>
        <w:t>2.29; Cranford, NJ,</w:t>
      </w:r>
      <w:r w:rsidRPr="00D965D0">
        <w:rPr>
          <w:rFonts w:ascii="Times New Roman" w:hAnsi="Times New Roman"/>
        </w:rPr>
        <w:t xml:space="preserve"> Code </w:t>
      </w:r>
      <w:r w:rsidRPr="00D965D0">
        <w:rPr>
          <w:rFonts w:ascii="Times New Roman" w:hAnsi="Times New Roman"/>
          <w:color w:val="000000"/>
        </w:rPr>
        <w:t>§</w:t>
      </w:r>
      <w:r>
        <w:rPr>
          <w:rFonts w:ascii="Times New Roman" w:hAnsi="Times New Roman"/>
        </w:rPr>
        <w:t>106; Los Angeles, CA,</w:t>
      </w:r>
      <w:r w:rsidRPr="00D965D0">
        <w:rPr>
          <w:rFonts w:ascii="Times New Roman" w:hAnsi="Times New Roman"/>
        </w:rPr>
        <w:t xml:space="preserve"> Administrative Code </w:t>
      </w:r>
      <w:r>
        <w:rPr>
          <w:rFonts w:ascii="Times New Roman" w:hAnsi="Times New Roman"/>
          <w:color w:val="000000"/>
        </w:rPr>
        <w:t>Division 7, Chapter 3, Article 5</w:t>
      </w:r>
      <w:r>
        <w:rPr>
          <w:rFonts w:ascii="Times New Roman" w:hAnsi="Times New Roman"/>
        </w:rPr>
        <w:t>; Miami Beach, FL,</w:t>
      </w:r>
      <w:r w:rsidRPr="00D965D0">
        <w:rPr>
          <w:rFonts w:ascii="Times New Roman" w:hAnsi="Times New Roman"/>
        </w:rPr>
        <w:t xml:space="preserve"> </w:t>
      </w:r>
      <w:r>
        <w:rPr>
          <w:rFonts w:ascii="Times New Roman" w:hAnsi="Times New Roman"/>
        </w:rPr>
        <w:t xml:space="preserve">Municipal </w:t>
      </w:r>
      <w:r w:rsidRPr="00D965D0">
        <w:rPr>
          <w:rFonts w:ascii="Times New Roman" w:hAnsi="Times New Roman"/>
        </w:rPr>
        <w:t xml:space="preserve">Code </w:t>
      </w:r>
      <w:r>
        <w:rPr>
          <w:rFonts w:ascii="Times New Roman" w:hAnsi="Times New Roman"/>
          <w:color w:val="000000"/>
        </w:rPr>
        <w:t xml:space="preserve">Chapter </w:t>
      </w:r>
      <w:r>
        <w:rPr>
          <w:rFonts w:ascii="Times New Roman" w:hAnsi="Times New Roman"/>
        </w:rPr>
        <w:t>100; Portland, OR, Resolution; Richmond, VA,</w:t>
      </w:r>
      <w:r w:rsidRPr="00D965D0">
        <w:rPr>
          <w:rFonts w:ascii="Times New Roman" w:hAnsi="Times New Roman"/>
        </w:rPr>
        <w:t xml:space="preserve"> Resolution 2008-R152-2009-14.</w:t>
      </w:r>
    </w:p>
  </w:footnote>
  <w:footnote w:id="2">
    <w:p w:rsidR="00DF59EE" w:rsidRDefault="00DF59EE" w:rsidP="0076062E">
      <w:pPr>
        <w:spacing w:line="360" w:lineRule="auto"/>
      </w:pPr>
      <w:r>
        <w:rPr>
          <w:rStyle w:val="FootnoteReference"/>
        </w:rPr>
        <w:footnoteRef/>
      </w:r>
      <w:r>
        <w:t xml:space="preserve"> </w:t>
      </w:r>
      <w:r w:rsidRPr="00EB1ED5">
        <w:rPr>
          <w:rFonts w:ascii="Times New Roman" w:hAnsi="Times New Roman"/>
          <w:i/>
          <w:sz w:val="20"/>
          <w:szCs w:val="20"/>
        </w:rPr>
        <w:t xml:space="preserve">E.g. </w:t>
      </w:r>
      <w:r>
        <w:rPr>
          <w:rFonts w:ascii="Times New Roman" w:hAnsi="Times New Roman"/>
          <w:sz w:val="20"/>
          <w:szCs w:val="20"/>
        </w:rPr>
        <w:t>Annapolis, MD,</w:t>
      </w:r>
      <w:r w:rsidRPr="00EB1ED5">
        <w:rPr>
          <w:rFonts w:ascii="Times New Roman" w:hAnsi="Times New Roman"/>
          <w:sz w:val="20"/>
          <w:szCs w:val="20"/>
        </w:rPr>
        <w:t xml:space="preserve"> City Code </w:t>
      </w:r>
      <w:r w:rsidRPr="00EB1ED5">
        <w:rPr>
          <w:rFonts w:ascii="Times New Roman" w:hAnsi="Times New Roman"/>
          <w:color w:val="000000"/>
          <w:sz w:val="20"/>
          <w:szCs w:val="20"/>
        </w:rPr>
        <w:t>§</w:t>
      </w:r>
      <w:r w:rsidRPr="00EB1ED5">
        <w:rPr>
          <w:rFonts w:ascii="Times New Roman" w:hAnsi="Times New Roman"/>
          <w:sz w:val="20"/>
          <w:szCs w:val="20"/>
        </w:rPr>
        <w:t>17.14.</w:t>
      </w:r>
    </w:p>
  </w:footnote>
  <w:footnote w:id="3">
    <w:p w:rsidR="00DF59EE" w:rsidRDefault="00DF59EE">
      <w:pPr>
        <w:pStyle w:val="FootnoteText"/>
      </w:pPr>
      <w:r>
        <w:rPr>
          <w:rStyle w:val="FootnoteReference"/>
        </w:rPr>
        <w:footnoteRef/>
      </w:r>
      <w:r>
        <w:rPr>
          <w:rFonts w:ascii="Times New Roman" w:hAnsi="Times New Roman"/>
          <w:i/>
        </w:rPr>
        <w:t xml:space="preserve"> E.g.</w:t>
      </w:r>
      <w:r>
        <w:rPr>
          <w:rFonts w:ascii="Times New Roman" w:hAnsi="Times New Roman"/>
        </w:rPr>
        <w:t xml:space="preserve"> Berkeley, CA,</w:t>
      </w:r>
      <w:r w:rsidRPr="00D965D0">
        <w:rPr>
          <w:rFonts w:ascii="Times New Roman" w:hAnsi="Times New Roman"/>
        </w:rPr>
        <w:t xml:space="preserve"> Resolution 62284.</w:t>
      </w:r>
    </w:p>
  </w:footnote>
  <w:footnote w:id="4">
    <w:p w:rsidR="00DF59EE" w:rsidRDefault="00DF59EE">
      <w:pPr>
        <w:pStyle w:val="FootnoteText"/>
      </w:pPr>
      <w:r>
        <w:rPr>
          <w:rStyle w:val="FootnoteReference"/>
        </w:rPr>
        <w:footnoteRef/>
      </w:r>
      <w:r>
        <w:t xml:space="preserve"> </w:t>
      </w:r>
      <w:r>
        <w:rPr>
          <w:rFonts w:ascii="Times New Roman" w:hAnsi="Times New Roman"/>
          <w:i/>
        </w:rPr>
        <w:t>E.g.</w:t>
      </w:r>
      <w:r w:rsidRPr="00D965D0">
        <w:rPr>
          <w:rFonts w:ascii="Times New Roman" w:hAnsi="Times New Roman"/>
          <w:i/>
        </w:rPr>
        <w:t xml:space="preserve"> </w:t>
      </w:r>
      <w:r w:rsidRPr="00D965D0">
        <w:rPr>
          <w:rFonts w:ascii="Times New Roman" w:hAnsi="Times New Roman"/>
        </w:rPr>
        <w:t xml:space="preserve">Asheville, NC, Resolution 07-91; Bloomington, IN, Code </w:t>
      </w:r>
      <w:r w:rsidRPr="00D965D0">
        <w:rPr>
          <w:rFonts w:ascii="Times New Roman" w:hAnsi="Times New Roman"/>
          <w:color w:val="000000"/>
        </w:rPr>
        <w:t>§</w:t>
      </w:r>
      <w:r w:rsidRPr="00D965D0">
        <w:rPr>
          <w:rFonts w:ascii="Times New Roman" w:hAnsi="Times New Roman"/>
        </w:rPr>
        <w:t>2.29; Chandler, AZ, Resolution 4199.</w:t>
      </w:r>
    </w:p>
  </w:footnote>
  <w:footnote w:id="5">
    <w:p w:rsidR="00DF59EE" w:rsidRDefault="00DF59EE">
      <w:pPr>
        <w:pStyle w:val="FootnoteText"/>
      </w:pPr>
      <w:r>
        <w:rPr>
          <w:rStyle w:val="FootnoteReference"/>
        </w:rPr>
        <w:footnoteRef/>
      </w:r>
      <w:r>
        <w:t xml:space="preserve"> </w:t>
      </w:r>
      <w:r>
        <w:rPr>
          <w:rFonts w:ascii="Times New Roman" w:hAnsi="Times New Roman"/>
          <w:i/>
        </w:rPr>
        <w:t>E.g.</w:t>
      </w:r>
      <w:r w:rsidRPr="00D965D0">
        <w:rPr>
          <w:rFonts w:ascii="Times New Roman" w:hAnsi="Times New Roman"/>
        </w:rPr>
        <w:t xml:space="preserve"> York, ME, Zoning Ordinance Article Nine.</w:t>
      </w:r>
    </w:p>
  </w:footnote>
  <w:footnote w:id="6">
    <w:p w:rsidR="00DF59EE" w:rsidRDefault="00DF59EE">
      <w:pPr>
        <w:pStyle w:val="FootnoteText"/>
      </w:pPr>
      <w:r>
        <w:rPr>
          <w:rStyle w:val="FootnoteReference"/>
        </w:rPr>
        <w:footnoteRef/>
      </w:r>
      <w:r>
        <w:t xml:space="preserve"> </w:t>
      </w:r>
      <w:r>
        <w:rPr>
          <w:rFonts w:ascii="Times New Roman" w:hAnsi="Times New Roman"/>
          <w:i/>
        </w:rPr>
        <w:t>E.g.</w:t>
      </w:r>
      <w:r w:rsidRPr="00D965D0">
        <w:rPr>
          <w:rFonts w:ascii="Times New Roman" w:hAnsi="Times New Roman"/>
          <w:i/>
        </w:rPr>
        <w:t xml:space="preserve"> </w:t>
      </w:r>
      <w:r w:rsidRPr="00D965D0">
        <w:rPr>
          <w:rFonts w:ascii="Times New Roman" w:hAnsi="Times New Roman"/>
        </w:rPr>
        <w:t xml:space="preserve">Asheville, NC, Resolution 07-91; San Rafael, CA, Code </w:t>
      </w:r>
      <w:r>
        <w:rPr>
          <w:rFonts w:ascii="Times New Roman" w:hAnsi="Times New Roman"/>
          <w:color w:val="000000"/>
        </w:rPr>
        <w:t xml:space="preserve">Title 14, Division IV, </w:t>
      </w:r>
      <w:r w:rsidRPr="00D965D0">
        <w:rPr>
          <w:rFonts w:ascii="Times New Roman" w:hAnsi="Times New Roman"/>
          <w:color w:val="000000"/>
        </w:rPr>
        <w:t>§</w:t>
      </w:r>
      <w:r>
        <w:rPr>
          <w:rFonts w:ascii="Times New Roman" w:hAnsi="Times New Roman"/>
          <w:color w:val="000000"/>
        </w:rPr>
        <w:t>14.16.365 and Standards of Compliance</w:t>
      </w:r>
      <w:r w:rsidRPr="00D965D0">
        <w:rPr>
          <w:rFonts w:ascii="Times New Roman" w:hAnsi="Times New Roman"/>
        </w:rPr>
        <w:t>.</w:t>
      </w:r>
    </w:p>
  </w:footnote>
  <w:footnote w:id="7">
    <w:p w:rsidR="00DF59EE" w:rsidRDefault="00DF59EE" w:rsidP="00AF0706">
      <w:pPr>
        <w:pStyle w:val="FootnoteText"/>
        <w:ind w:left="720" w:hanging="720"/>
        <w:rPr>
          <w:rFonts w:ascii="Times New Roman" w:hAnsi="Times New Roman"/>
        </w:rPr>
      </w:pPr>
      <w:r>
        <w:rPr>
          <w:rStyle w:val="FootnoteReference"/>
        </w:rPr>
        <w:footnoteRef/>
      </w:r>
      <w:r>
        <w:t xml:space="preserve"> </w:t>
      </w:r>
      <w:r>
        <w:rPr>
          <w:rFonts w:ascii="Times New Roman" w:hAnsi="Times New Roman"/>
          <w:i/>
        </w:rPr>
        <w:t>E.g.</w:t>
      </w:r>
      <w:r w:rsidRPr="00D965D0">
        <w:rPr>
          <w:rFonts w:ascii="Times New Roman" w:hAnsi="Times New Roman"/>
          <w:i/>
        </w:rPr>
        <w:t xml:space="preserve"> </w:t>
      </w:r>
      <w:r w:rsidRPr="00D965D0">
        <w:rPr>
          <w:rFonts w:ascii="Times New Roman" w:hAnsi="Times New Roman"/>
        </w:rPr>
        <w:t xml:space="preserve">Calabasas, CA, City Code </w:t>
      </w:r>
      <w:r>
        <w:rPr>
          <w:rFonts w:ascii="Times New Roman" w:hAnsi="Times New Roman"/>
        </w:rPr>
        <w:t xml:space="preserve">Title 17, Article III, </w:t>
      </w:r>
      <w:r w:rsidRPr="00D965D0">
        <w:rPr>
          <w:rFonts w:ascii="Times New Roman" w:hAnsi="Times New Roman"/>
          <w:color w:val="000000"/>
        </w:rPr>
        <w:t>§</w:t>
      </w:r>
      <w:r>
        <w:rPr>
          <w:rFonts w:ascii="Times New Roman" w:hAnsi="Times New Roman"/>
        </w:rPr>
        <w:t>17</w:t>
      </w:r>
      <w:r w:rsidRPr="00D965D0">
        <w:rPr>
          <w:rFonts w:ascii="Times New Roman" w:hAnsi="Times New Roman"/>
        </w:rPr>
        <w:t xml:space="preserve">.34; Rohnert Park, CA, Code </w:t>
      </w:r>
      <w:r w:rsidRPr="00D965D0">
        <w:rPr>
          <w:rFonts w:ascii="Times New Roman" w:hAnsi="Times New Roman"/>
          <w:color w:val="000000"/>
        </w:rPr>
        <w:t>§</w:t>
      </w:r>
      <w:r w:rsidRPr="00D965D0">
        <w:rPr>
          <w:rFonts w:ascii="Times New Roman" w:hAnsi="Times New Roman"/>
        </w:rPr>
        <w:t>14.50</w:t>
      </w:r>
      <w:r>
        <w:rPr>
          <w:rFonts w:ascii="Times New Roman" w:hAnsi="Times New Roman"/>
        </w:rPr>
        <w:t xml:space="preserve"> and</w:t>
      </w:r>
    </w:p>
    <w:p w:rsidR="00DF59EE" w:rsidRDefault="00DF59EE" w:rsidP="00AF0706">
      <w:pPr>
        <w:pStyle w:val="FootnoteText"/>
        <w:ind w:left="720" w:hanging="720"/>
      </w:pPr>
      <w:r>
        <w:rPr>
          <w:rFonts w:ascii="Times New Roman" w:hAnsi="Times New Roman"/>
        </w:rPr>
        <w:t>Standards of Compliance</w:t>
      </w:r>
      <w:r w:rsidRPr="00D965D0">
        <w:rPr>
          <w:rFonts w:ascii="Times New Roman" w:hAnsi="Times New Roman"/>
        </w:rPr>
        <w:t>.</w:t>
      </w:r>
    </w:p>
  </w:footnote>
  <w:footnote w:id="8">
    <w:p w:rsidR="00DF59EE" w:rsidRDefault="00DF59EE" w:rsidP="00AF0706">
      <w:pPr>
        <w:pStyle w:val="FootnoteText"/>
      </w:pPr>
      <w:r>
        <w:rPr>
          <w:rStyle w:val="FootnoteReference"/>
        </w:rPr>
        <w:footnoteRef/>
      </w:r>
      <w:r>
        <w:t xml:space="preserve"> </w:t>
      </w:r>
      <w:r>
        <w:rPr>
          <w:rFonts w:ascii="Times New Roman" w:hAnsi="Times New Roman"/>
          <w:i/>
        </w:rPr>
        <w:t>E.g.</w:t>
      </w:r>
      <w:r w:rsidRPr="00D965D0">
        <w:rPr>
          <w:rFonts w:ascii="Times New Roman" w:hAnsi="Times New Roman"/>
          <w:i/>
        </w:rPr>
        <w:t xml:space="preserve"> </w:t>
      </w:r>
      <w:r>
        <w:rPr>
          <w:rFonts w:ascii="Times New Roman" w:hAnsi="Times New Roman"/>
        </w:rPr>
        <w:t>Richmond, VA, Resolution 2008</w:t>
      </w:r>
      <w:r w:rsidRPr="00D965D0">
        <w:rPr>
          <w:rFonts w:ascii="Times New Roman" w:hAnsi="Times New Roman"/>
        </w:rPr>
        <w:t>-R152-2009-14.</w:t>
      </w:r>
    </w:p>
  </w:footnote>
  <w:footnote w:id="9">
    <w:p w:rsidR="00DF59EE" w:rsidRDefault="00DF59EE">
      <w:pPr>
        <w:pStyle w:val="FootnoteText"/>
      </w:pPr>
      <w:r>
        <w:rPr>
          <w:rStyle w:val="FootnoteReference"/>
        </w:rPr>
        <w:footnoteRef/>
      </w:r>
      <w:r>
        <w:t xml:space="preserve"> </w:t>
      </w:r>
      <w:r>
        <w:rPr>
          <w:rFonts w:ascii="Times New Roman" w:hAnsi="Times New Roman"/>
          <w:i/>
        </w:rPr>
        <w:t>E.g.</w:t>
      </w:r>
      <w:r w:rsidRPr="00D965D0">
        <w:rPr>
          <w:rFonts w:ascii="Times New Roman" w:hAnsi="Times New Roman"/>
          <w:i/>
        </w:rPr>
        <w:t xml:space="preserve"> </w:t>
      </w:r>
      <w:r w:rsidRPr="00D965D0">
        <w:rPr>
          <w:rFonts w:ascii="Times New Roman" w:hAnsi="Times New Roman"/>
        </w:rPr>
        <w:t xml:space="preserve">Alameda, CA, Code </w:t>
      </w:r>
      <w:r>
        <w:rPr>
          <w:rFonts w:ascii="Times New Roman" w:hAnsi="Times New Roman"/>
        </w:rPr>
        <w:t xml:space="preserve">Chapter XII, Article VI, </w:t>
      </w:r>
      <w:r w:rsidRPr="00D965D0">
        <w:rPr>
          <w:rFonts w:ascii="Times New Roman" w:hAnsi="Times New Roman"/>
          <w:color w:val="000000"/>
        </w:rPr>
        <w:t>§</w:t>
      </w:r>
      <w:r w:rsidRPr="00D965D0">
        <w:rPr>
          <w:rFonts w:ascii="Times New Roman" w:hAnsi="Times New Roman"/>
        </w:rPr>
        <w:t xml:space="preserve">13-19; Chamblee, GA, Municipal Code </w:t>
      </w:r>
      <w:r w:rsidRPr="00D965D0">
        <w:rPr>
          <w:rFonts w:ascii="Times New Roman" w:hAnsi="Times New Roman"/>
          <w:color w:val="000000"/>
        </w:rPr>
        <w:t>§</w:t>
      </w:r>
      <w:r w:rsidRPr="00D965D0">
        <w:rPr>
          <w:rFonts w:ascii="Times New Roman" w:hAnsi="Times New Roman"/>
        </w:rPr>
        <w:t>93-1</w:t>
      </w:r>
      <w:r>
        <w:rPr>
          <w:rFonts w:ascii="Times New Roman" w:hAnsi="Times New Roman"/>
        </w:rPr>
        <w:t>(d)</w:t>
      </w:r>
      <w:r w:rsidRPr="00D965D0">
        <w:rPr>
          <w:rFonts w:ascii="Times New Roman" w:hAnsi="Times New Roman"/>
        </w:rPr>
        <w:t>.</w:t>
      </w:r>
    </w:p>
  </w:footnote>
  <w:footnote w:id="10">
    <w:p w:rsidR="00DF59EE" w:rsidRDefault="00DF59EE">
      <w:pPr>
        <w:pStyle w:val="FootnoteText"/>
      </w:pPr>
      <w:r>
        <w:rPr>
          <w:rStyle w:val="FootnoteReference"/>
        </w:rPr>
        <w:footnoteRef/>
      </w:r>
      <w:r>
        <w:t xml:space="preserve"> </w:t>
      </w:r>
      <w:r w:rsidRPr="00D965D0">
        <w:rPr>
          <w:rFonts w:ascii="Times New Roman" w:hAnsi="Times New Roman"/>
        </w:rPr>
        <w:t>Denver, CO, Executive Order 123</w:t>
      </w:r>
      <w:r>
        <w:rPr>
          <w:rFonts w:ascii="Times New Roman" w:hAnsi="Times New Roman"/>
        </w:rPr>
        <w:t>, Chapter 2</w:t>
      </w:r>
      <w:r w:rsidRPr="00D965D0">
        <w:rPr>
          <w:rFonts w:ascii="Times New Roman" w:hAnsi="Times New Roman"/>
        </w:rPr>
        <w:t>.</w:t>
      </w:r>
    </w:p>
  </w:footnote>
  <w:footnote w:id="11">
    <w:p w:rsidR="00DF59EE" w:rsidRDefault="00DF59EE" w:rsidP="0017009E">
      <w:r w:rsidRPr="0017009E">
        <w:rPr>
          <w:rStyle w:val="FootnoteReference"/>
          <w:rFonts w:ascii="Times New Roman" w:hAnsi="Times New Roman"/>
          <w:sz w:val="20"/>
          <w:szCs w:val="20"/>
        </w:rPr>
        <w:footnoteRef/>
      </w:r>
      <w:r w:rsidRPr="0017009E">
        <w:rPr>
          <w:rFonts w:ascii="Times New Roman" w:hAnsi="Times New Roman"/>
          <w:sz w:val="20"/>
          <w:szCs w:val="20"/>
        </w:rPr>
        <w:t xml:space="preserve"> </w:t>
      </w:r>
      <w:r>
        <w:rPr>
          <w:rFonts w:ascii="Times New Roman" w:hAnsi="Times New Roman"/>
          <w:i/>
          <w:sz w:val="20"/>
          <w:szCs w:val="20"/>
        </w:rPr>
        <w:t>E.g.</w:t>
      </w:r>
      <w:r w:rsidRPr="0017009E">
        <w:rPr>
          <w:rFonts w:ascii="Times New Roman" w:hAnsi="Times New Roman"/>
          <w:i/>
          <w:sz w:val="20"/>
          <w:szCs w:val="20"/>
        </w:rPr>
        <w:t xml:space="preserve"> </w:t>
      </w:r>
      <w:r>
        <w:rPr>
          <w:rFonts w:ascii="Times New Roman" w:hAnsi="Times New Roman"/>
          <w:sz w:val="20"/>
          <w:szCs w:val="20"/>
        </w:rPr>
        <w:t>Costa Mesa, CA,</w:t>
      </w:r>
      <w:r w:rsidRPr="0017009E">
        <w:rPr>
          <w:rFonts w:ascii="Times New Roman" w:hAnsi="Times New Roman"/>
          <w:sz w:val="20"/>
          <w:szCs w:val="20"/>
        </w:rPr>
        <w:t xml:space="preserve"> </w:t>
      </w:r>
      <w:r>
        <w:rPr>
          <w:rFonts w:ascii="Times New Roman" w:hAnsi="Times New Roman"/>
          <w:sz w:val="20"/>
          <w:szCs w:val="20"/>
        </w:rPr>
        <w:t>Council Policy 500-14</w:t>
      </w:r>
      <w:r w:rsidRPr="0017009E">
        <w:rPr>
          <w:rFonts w:ascii="Times New Roman" w:hAnsi="Times New Roman"/>
          <w:sz w:val="20"/>
          <w:szCs w:val="20"/>
        </w:rPr>
        <w:t xml:space="preserve">; New York, NY, Charter </w:t>
      </w:r>
      <w:r w:rsidRPr="00D965D0">
        <w:rPr>
          <w:rFonts w:ascii="Times New Roman" w:hAnsi="Times New Roman"/>
          <w:color w:val="000000"/>
        </w:rPr>
        <w:t>§</w:t>
      </w:r>
      <w:r w:rsidRPr="0017009E">
        <w:rPr>
          <w:rFonts w:ascii="Times New Roman" w:hAnsi="Times New Roman"/>
          <w:sz w:val="20"/>
          <w:szCs w:val="20"/>
        </w:rPr>
        <w:t xml:space="preserve">9-224.1; Philadelphia, PA, Executive Order 1-07; Portland, OR, Resolution.  </w:t>
      </w:r>
    </w:p>
  </w:footnote>
  <w:footnote w:id="12">
    <w:p w:rsidR="00DF59EE" w:rsidRDefault="00DF59EE">
      <w:pPr>
        <w:pStyle w:val="FootnoteText"/>
      </w:pPr>
      <w:r>
        <w:rPr>
          <w:rStyle w:val="FootnoteReference"/>
        </w:rPr>
        <w:footnoteRef/>
      </w:r>
      <w:r>
        <w:t xml:space="preserve"> </w:t>
      </w:r>
      <w:r>
        <w:rPr>
          <w:rFonts w:ascii="Times New Roman" w:hAnsi="Times New Roman"/>
        </w:rPr>
        <w:t>San Francisco, CA, Environment</w:t>
      </w:r>
      <w:r w:rsidRPr="00D965D0">
        <w:rPr>
          <w:rFonts w:ascii="Times New Roman" w:hAnsi="Times New Roman"/>
        </w:rPr>
        <w:t xml:space="preserve"> Code Chapter 7.</w:t>
      </w:r>
    </w:p>
  </w:footnote>
  <w:footnote w:id="13">
    <w:p w:rsidR="00DF59EE" w:rsidRDefault="00DF59EE">
      <w:pPr>
        <w:pStyle w:val="FootnoteText"/>
      </w:pPr>
      <w:r>
        <w:rPr>
          <w:rStyle w:val="FootnoteReference"/>
        </w:rPr>
        <w:footnoteRef/>
      </w:r>
      <w:r>
        <w:t xml:space="preserve"> </w:t>
      </w:r>
      <w:r>
        <w:rPr>
          <w:rFonts w:ascii="Times New Roman" w:hAnsi="Times New Roman"/>
          <w:i/>
        </w:rPr>
        <w:t>E.g.</w:t>
      </w:r>
      <w:r w:rsidRPr="00D965D0">
        <w:rPr>
          <w:rFonts w:ascii="Times New Roman" w:hAnsi="Times New Roman"/>
          <w:i/>
        </w:rPr>
        <w:t xml:space="preserve"> </w:t>
      </w:r>
      <w:r w:rsidRPr="00D965D0">
        <w:rPr>
          <w:rFonts w:ascii="Times New Roman" w:hAnsi="Times New Roman"/>
        </w:rPr>
        <w:t xml:space="preserve">Dallas, TX, </w:t>
      </w:r>
      <w:r>
        <w:rPr>
          <w:rFonts w:ascii="Times New Roman" w:hAnsi="Times New Roman"/>
        </w:rPr>
        <w:t>LEED Policy Update 2006</w:t>
      </w:r>
      <w:r w:rsidRPr="00D965D0">
        <w:rPr>
          <w:rFonts w:ascii="Times New Roman" w:hAnsi="Times New Roman"/>
        </w:rPr>
        <w:t xml:space="preserve">; Greensburg, KS, Resolution; Pasadena, CA, Municipal Code </w:t>
      </w:r>
      <w:r w:rsidRPr="00D965D0">
        <w:rPr>
          <w:rFonts w:ascii="Times New Roman" w:hAnsi="Times New Roman"/>
          <w:color w:val="000000"/>
        </w:rPr>
        <w:t>§</w:t>
      </w:r>
      <w:r>
        <w:rPr>
          <w:rFonts w:ascii="Times New Roman" w:hAnsi="Times New Roman"/>
        </w:rPr>
        <w:t>14.90</w:t>
      </w:r>
      <w:r w:rsidRPr="00D965D0">
        <w:rPr>
          <w:rFonts w:ascii="Times New Roman" w:hAnsi="Times New Roman"/>
        </w:rPr>
        <w:t>.</w:t>
      </w:r>
    </w:p>
  </w:footnote>
  <w:footnote w:id="14">
    <w:p w:rsidR="00DF59EE" w:rsidRDefault="00DF59EE">
      <w:pPr>
        <w:pStyle w:val="FootnoteText"/>
      </w:pPr>
      <w:r>
        <w:rPr>
          <w:rStyle w:val="FootnoteReference"/>
        </w:rPr>
        <w:footnoteRef/>
      </w:r>
      <w:r>
        <w:t xml:space="preserve"> </w:t>
      </w:r>
      <w:r>
        <w:rPr>
          <w:rFonts w:ascii="Times New Roman" w:hAnsi="Times New Roman"/>
          <w:i/>
        </w:rPr>
        <w:t>E.g.</w:t>
      </w:r>
      <w:r w:rsidRPr="00D965D0">
        <w:rPr>
          <w:rFonts w:ascii="Times New Roman" w:hAnsi="Times New Roman"/>
        </w:rPr>
        <w:t xml:space="preserve"> Albany, CA, </w:t>
      </w:r>
      <w:r>
        <w:rPr>
          <w:rFonts w:ascii="Times New Roman" w:hAnsi="Times New Roman"/>
        </w:rPr>
        <w:t>Land Development Code</w:t>
      </w:r>
      <w:r w:rsidRPr="00D965D0">
        <w:rPr>
          <w:rFonts w:ascii="Times New Roman" w:hAnsi="Times New Roman"/>
        </w:rPr>
        <w:t xml:space="preserve"> </w:t>
      </w:r>
      <w:r w:rsidRPr="00D965D0">
        <w:rPr>
          <w:rFonts w:ascii="Times New Roman" w:hAnsi="Times New Roman"/>
          <w:color w:val="000000"/>
        </w:rPr>
        <w:t>§</w:t>
      </w:r>
      <w:r w:rsidRPr="00D965D0">
        <w:rPr>
          <w:rFonts w:ascii="Times New Roman" w:hAnsi="Times New Roman"/>
        </w:rPr>
        <w:t>20.68</w:t>
      </w:r>
      <w:r>
        <w:rPr>
          <w:rFonts w:ascii="Times New Roman" w:hAnsi="Times New Roman"/>
        </w:rPr>
        <w:t xml:space="preserve"> and Standards of Compliance</w:t>
      </w:r>
      <w:r w:rsidRPr="00D965D0">
        <w:rPr>
          <w:rFonts w:ascii="Times New Roman" w:hAnsi="Times New Roman"/>
        </w:rPr>
        <w:t xml:space="preserve">, Davis, CA, Municipal Code </w:t>
      </w:r>
      <w:r w:rsidRPr="00D965D0">
        <w:rPr>
          <w:rFonts w:ascii="Times New Roman" w:hAnsi="Times New Roman"/>
          <w:color w:val="000000"/>
        </w:rPr>
        <w:t>§</w:t>
      </w:r>
      <w:r w:rsidRPr="00D965D0">
        <w:rPr>
          <w:rFonts w:ascii="Times New Roman" w:hAnsi="Times New Roman"/>
        </w:rPr>
        <w:t>8.20.</w:t>
      </w:r>
    </w:p>
  </w:footnote>
  <w:footnote w:id="15">
    <w:p w:rsidR="00DF59EE" w:rsidRDefault="00DF59EE">
      <w:pPr>
        <w:pStyle w:val="FootnoteText"/>
      </w:pPr>
      <w:r>
        <w:rPr>
          <w:rStyle w:val="FootnoteReference"/>
        </w:rPr>
        <w:footnoteRef/>
      </w:r>
      <w:r>
        <w:t xml:space="preserve"> </w:t>
      </w:r>
      <w:r>
        <w:rPr>
          <w:rFonts w:ascii="Times New Roman" w:hAnsi="Times New Roman"/>
          <w:i/>
        </w:rPr>
        <w:t>E.g.</w:t>
      </w:r>
      <w:r w:rsidRPr="00D965D0">
        <w:rPr>
          <w:rFonts w:ascii="Times New Roman" w:hAnsi="Times New Roman"/>
          <w:i/>
        </w:rPr>
        <w:t xml:space="preserve"> </w:t>
      </w:r>
      <w:r w:rsidRPr="00D965D0">
        <w:rPr>
          <w:rFonts w:ascii="Times New Roman" w:hAnsi="Times New Roman"/>
        </w:rPr>
        <w:t xml:space="preserve">Portland, ME, </w:t>
      </w:r>
      <w:r>
        <w:rPr>
          <w:rFonts w:ascii="Times New Roman" w:hAnsi="Times New Roman"/>
        </w:rPr>
        <w:t xml:space="preserve">City </w:t>
      </w:r>
      <w:r w:rsidRPr="00D965D0">
        <w:rPr>
          <w:rFonts w:ascii="Times New Roman" w:hAnsi="Times New Roman"/>
        </w:rPr>
        <w:t xml:space="preserve">Code </w:t>
      </w:r>
      <w:r>
        <w:rPr>
          <w:rFonts w:ascii="Times New Roman" w:hAnsi="Times New Roman"/>
        </w:rPr>
        <w:t>Chapter 6, Article VII</w:t>
      </w:r>
      <w:r w:rsidRPr="00D965D0">
        <w:rPr>
          <w:rFonts w:ascii="Times New Roman" w:hAnsi="Times New Roman"/>
        </w:rPr>
        <w:t>.</w:t>
      </w:r>
    </w:p>
  </w:footnote>
  <w:footnote w:id="16">
    <w:p w:rsidR="00DF59EE" w:rsidRDefault="00DF59EE">
      <w:pPr>
        <w:pStyle w:val="FootnoteText"/>
      </w:pPr>
      <w:r>
        <w:rPr>
          <w:rStyle w:val="FootnoteReference"/>
        </w:rPr>
        <w:footnoteRef/>
      </w:r>
      <w:r>
        <w:t xml:space="preserve"> </w:t>
      </w:r>
      <w:r>
        <w:rPr>
          <w:rFonts w:ascii="Times New Roman" w:hAnsi="Times New Roman"/>
          <w:i/>
        </w:rPr>
        <w:t>E.g.</w:t>
      </w:r>
      <w:r w:rsidRPr="00D965D0">
        <w:rPr>
          <w:rFonts w:ascii="Times New Roman" w:hAnsi="Times New Roman"/>
          <w:i/>
        </w:rPr>
        <w:t xml:space="preserve"> </w:t>
      </w:r>
      <w:r w:rsidRPr="00D965D0">
        <w:rPr>
          <w:rFonts w:ascii="Times New Roman" w:hAnsi="Times New Roman"/>
        </w:rPr>
        <w:t xml:space="preserve">Brisbane, CA, </w:t>
      </w:r>
      <w:r>
        <w:rPr>
          <w:rFonts w:ascii="Times New Roman" w:hAnsi="Times New Roman"/>
        </w:rPr>
        <w:t xml:space="preserve">Municipal </w:t>
      </w:r>
      <w:r w:rsidRPr="00D965D0">
        <w:rPr>
          <w:rFonts w:ascii="Times New Roman" w:hAnsi="Times New Roman"/>
        </w:rPr>
        <w:t xml:space="preserve">Code </w:t>
      </w:r>
      <w:r w:rsidRPr="00D965D0">
        <w:rPr>
          <w:rFonts w:ascii="Times New Roman" w:hAnsi="Times New Roman"/>
          <w:color w:val="000000"/>
        </w:rPr>
        <w:t>§</w:t>
      </w:r>
      <w:r w:rsidRPr="00D965D0">
        <w:rPr>
          <w:rFonts w:ascii="Times New Roman" w:hAnsi="Times New Roman"/>
        </w:rPr>
        <w:t xml:space="preserve">15.80; Conyers, GA, </w:t>
      </w:r>
      <w:r>
        <w:rPr>
          <w:rFonts w:ascii="Times New Roman" w:hAnsi="Times New Roman"/>
        </w:rPr>
        <w:t xml:space="preserve">Municipal </w:t>
      </w:r>
      <w:r w:rsidRPr="00D965D0">
        <w:rPr>
          <w:rFonts w:ascii="Times New Roman" w:hAnsi="Times New Roman"/>
        </w:rPr>
        <w:t xml:space="preserve">Code </w:t>
      </w:r>
      <w:r>
        <w:rPr>
          <w:rFonts w:ascii="Times New Roman" w:hAnsi="Times New Roman"/>
        </w:rPr>
        <w:t>Title 8, Article II, Chapter M</w:t>
      </w:r>
      <w:r w:rsidRPr="00D965D0">
        <w:rPr>
          <w:rFonts w:ascii="Times New Roman" w:hAnsi="Times New Roman"/>
        </w:rPr>
        <w:t xml:space="preserve">; Taos, NM, Building Code </w:t>
      </w:r>
      <w:r w:rsidRPr="00D965D0">
        <w:rPr>
          <w:rFonts w:ascii="Times New Roman" w:hAnsi="Times New Roman"/>
          <w:color w:val="000000"/>
        </w:rPr>
        <w:t>§15.04.040</w:t>
      </w:r>
      <w:r w:rsidRPr="00D965D0">
        <w:rPr>
          <w:rFonts w:ascii="Times New Roman" w:hAnsi="Times New Roman"/>
        </w:rPr>
        <w:t>.</w:t>
      </w:r>
    </w:p>
  </w:footnote>
  <w:footnote w:id="17">
    <w:p w:rsidR="00DF59EE" w:rsidRDefault="00DF59EE">
      <w:pPr>
        <w:pStyle w:val="FootnoteText"/>
      </w:pPr>
      <w:r>
        <w:rPr>
          <w:rStyle w:val="FootnoteReference"/>
        </w:rPr>
        <w:footnoteRef/>
      </w:r>
      <w:r>
        <w:t xml:space="preserve"> </w:t>
      </w:r>
      <w:r>
        <w:rPr>
          <w:rFonts w:ascii="Times New Roman" w:hAnsi="Times New Roman"/>
        </w:rPr>
        <w:t>Eugene, OR, Resolution 4884; Fort</w:t>
      </w:r>
      <w:r w:rsidRPr="00D965D0">
        <w:rPr>
          <w:rFonts w:ascii="Times New Roman" w:hAnsi="Times New Roman"/>
        </w:rPr>
        <w:t xml:space="preserve"> Collins, CO, Resolution 2006-096 ; Miami Beach, FL, Municipal Code </w:t>
      </w:r>
      <w:r>
        <w:rPr>
          <w:rFonts w:ascii="Times New Roman" w:hAnsi="Times New Roman"/>
          <w:color w:val="000000"/>
        </w:rPr>
        <w:t xml:space="preserve">Chapter </w:t>
      </w:r>
      <w:r w:rsidRPr="00D965D0">
        <w:rPr>
          <w:rFonts w:ascii="Times New Roman" w:hAnsi="Times New Roman"/>
          <w:color w:val="000000"/>
        </w:rPr>
        <w:t>100</w:t>
      </w:r>
      <w:r w:rsidRPr="00D965D0">
        <w:rPr>
          <w:rFonts w:ascii="Times New Roman" w:hAnsi="Times New Roman"/>
        </w:rPr>
        <w:t>.</w:t>
      </w:r>
    </w:p>
  </w:footnote>
  <w:footnote w:id="18">
    <w:p w:rsidR="00DF59EE" w:rsidRDefault="00DF59EE">
      <w:pPr>
        <w:pStyle w:val="FootnoteText"/>
      </w:pPr>
      <w:r>
        <w:rPr>
          <w:rStyle w:val="FootnoteReference"/>
        </w:rPr>
        <w:footnoteRef/>
      </w:r>
      <w:r>
        <w:t xml:space="preserve"> </w:t>
      </w:r>
      <w:r>
        <w:rPr>
          <w:rFonts w:ascii="Times New Roman" w:hAnsi="Times New Roman"/>
          <w:i/>
        </w:rPr>
        <w:t>E.g.</w:t>
      </w:r>
      <w:r w:rsidRPr="00D965D0">
        <w:rPr>
          <w:rFonts w:ascii="Times New Roman" w:hAnsi="Times New Roman"/>
          <w:i/>
        </w:rPr>
        <w:t xml:space="preserve"> </w:t>
      </w:r>
      <w:r w:rsidRPr="00D965D0">
        <w:rPr>
          <w:rFonts w:ascii="Times New Roman" w:hAnsi="Times New Roman"/>
        </w:rPr>
        <w:t xml:space="preserve">Santa Cruz, CA, Municipal Code, </w:t>
      </w:r>
      <w:r w:rsidRPr="00D965D0">
        <w:rPr>
          <w:rFonts w:ascii="Times New Roman" w:hAnsi="Times New Roman"/>
          <w:color w:val="000000"/>
        </w:rPr>
        <w:t>§</w:t>
      </w:r>
      <w:r w:rsidRPr="00D965D0">
        <w:rPr>
          <w:rFonts w:ascii="Times New Roman" w:hAnsi="Times New Roman"/>
        </w:rPr>
        <w:t>24.15.</w:t>
      </w:r>
    </w:p>
  </w:footnote>
  <w:footnote w:id="19">
    <w:p w:rsidR="00DF59EE" w:rsidRDefault="00DF59EE" w:rsidP="0017009E">
      <w:r>
        <w:rPr>
          <w:rStyle w:val="FootnoteReference"/>
        </w:rPr>
        <w:footnoteRef/>
      </w:r>
      <w:r>
        <w:t xml:space="preserve"> </w:t>
      </w:r>
      <w:r>
        <w:rPr>
          <w:rFonts w:ascii="Times New Roman" w:hAnsi="Times New Roman"/>
          <w:i/>
          <w:sz w:val="20"/>
          <w:szCs w:val="20"/>
        </w:rPr>
        <w:t>E.g.</w:t>
      </w:r>
      <w:r w:rsidRPr="0017009E">
        <w:rPr>
          <w:rFonts w:ascii="Times New Roman" w:hAnsi="Times New Roman"/>
          <w:i/>
          <w:sz w:val="20"/>
          <w:szCs w:val="20"/>
        </w:rPr>
        <w:t xml:space="preserve"> </w:t>
      </w:r>
      <w:r w:rsidRPr="0017009E">
        <w:rPr>
          <w:rFonts w:ascii="Times New Roman" w:hAnsi="Times New Roman"/>
          <w:sz w:val="20"/>
          <w:szCs w:val="20"/>
        </w:rPr>
        <w:t xml:space="preserve">Babylon, NY, City Code </w:t>
      </w:r>
      <w:r>
        <w:rPr>
          <w:rFonts w:ascii="Times New Roman" w:hAnsi="Times New Roman"/>
          <w:color w:val="000000"/>
          <w:sz w:val="20"/>
          <w:szCs w:val="20"/>
        </w:rPr>
        <w:t xml:space="preserve">Chapter </w:t>
      </w:r>
      <w:r>
        <w:rPr>
          <w:rFonts w:ascii="Times New Roman" w:hAnsi="Times New Roman"/>
          <w:sz w:val="20"/>
          <w:szCs w:val="20"/>
        </w:rPr>
        <w:t>89, Article VIII</w:t>
      </w:r>
      <w:r w:rsidRPr="0017009E">
        <w:rPr>
          <w:rFonts w:ascii="Times New Roman" w:hAnsi="Times New Roman"/>
          <w:sz w:val="20"/>
          <w:szCs w:val="20"/>
        </w:rPr>
        <w:t xml:space="preserve">; Chamblee, GA, Municipal Code </w:t>
      </w:r>
      <w:r w:rsidRPr="0017009E">
        <w:rPr>
          <w:rFonts w:ascii="Times New Roman" w:hAnsi="Times New Roman"/>
          <w:color w:val="000000"/>
          <w:sz w:val="20"/>
          <w:szCs w:val="20"/>
        </w:rPr>
        <w:t>§</w:t>
      </w:r>
      <w:r w:rsidRPr="0017009E">
        <w:rPr>
          <w:rFonts w:ascii="Times New Roman" w:hAnsi="Times New Roman"/>
          <w:sz w:val="20"/>
          <w:szCs w:val="20"/>
        </w:rPr>
        <w:t>93-1</w:t>
      </w:r>
      <w:r>
        <w:rPr>
          <w:rFonts w:ascii="Times New Roman" w:hAnsi="Times New Roman"/>
          <w:sz w:val="20"/>
          <w:szCs w:val="20"/>
        </w:rPr>
        <w:t>(d)</w:t>
      </w:r>
      <w:r w:rsidRPr="0017009E">
        <w:rPr>
          <w:rFonts w:ascii="Times New Roman" w:hAnsi="Times New Roman"/>
          <w:sz w:val="20"/>
          <w:szCs w:val="20"/>
        </w:rPr>
        <w:t xml:space="preserve">; Gaithersburg, MD, Code </w:t>
      </w:r>
      <w:r>
        <w:rPr>
          <w:rFonts w:ascii="Times New Roman" w:hAnsi="Times New Roman"/>
          <w:sz w:val="20"/>
          <w:szCs w:val="20"/>
        </w:rPr>
        <w:t xml:space="preserve">Chapter 5, Article I, </w:t>
      </w:r>
      <w:r w:rsidRPr="0017009E">
        <w:rPr>
          <w:rFonts w:ascii="Times New Roman" w:hAnsi="Times New Roman"/>
          <w:color w:val="000000"/>
          <w:sz w:val="20"/>
          <w:szCs w:val="20"/>
        </w:rPr>
        <w:t>§</w:t>
      </w:r>
      <w:r w:rsidRPr="0017009E">
        <w:rPr>
          <w:rFonts w:ascii="Times New Roman" w:hAnsi="Times New Roman"/>
          <w:sz w:val="20"/>
          <w:szCs w:val="20"/>
        </w:rPr>
        <w:t>5-3</w:t>
      </w:r>
      <w:r>
        <w:rPr>
          <w:rFonts w:ascii="Times New Roman" w:hAnsi="Times New Roman"/>
          <w:sz w:val="20"/>
          <w:szCs w:val="20"/>
        </w:rPr>
        <w:t>, Subsection 3110</w:t>
      </w:r>
      <w:r w:rsidRPr="0017009E">
        <w:rPr>
          <w:rFonts w:ascii="Times New Roman" w:hAnsi="Times New Roman"/>
          <w:sz w:val="20"/>
          <w:szCs w:val="20"/>
        </w:rPr>
        <w:t>.</w:t>
      </w:r>
      <w:r>
        <w:rPr>
          <w:rFonts w:ascii="Times New Roman" w:hAnsi="Times New Roman"/>
        </w:rPr>
        <w:t xml:space="preserve"> </w:t>
      </w:r>
    </w:p>
  </w:footnote>
  <w:footnote w:id="20">
    <w:p w:rsidR="00DF59EE" w:rsidRDefault="00DF59EE">
      <w:pPr>
        <w:pStyle w:val="FootnoteText"/>
      </w:pPr>
      <w:r>
        <w:rPr>
          <w:rStyle w:val="FootnoteReference"/>
        </w:rPr>
        <w:footnoteRef/>
      </w:r>
      <w:r>
        <w:t xml:space="preserve"> </w:t>
      </w:r>
      <w:r w:rsidRPr="00D965D0">
        <w:rPr>
          <w:rFonts w:ascii="Times New Roman" w:hAnsi="Times New Roman"/>
        </w:rPr>
        <w:t xml:space="preserve">Davis, CA, Municipal Code </w:t>
      </w:r>
      <w:r w:rsidRPr="00D965D0">
        <w:rPr>
          <w:rFonts w:ascii="Times New Roman" w:hAnsi="Times New Roman"/>
          <w:color w:val="000000"/>
        </w:rPr>
        <w:t>§</w:t>
      </w:r>
      <w:r w:rsidRPr="00D965D0">
        <w:rPr>
          <w:rFonts w:ascii="Times New Roman" w:hAnsi="Times New Roman"/>
        </w:rPr>
        <w:t>8.20.</w:t>
      </w:r>
    </w:p>
  </w:footnote>
  <w:footnote w:id="21">
    <w:p w:rsidR="00DF59EE" w:rsidRDefault="00DF59EE" w:rsidP="00146184">
      <w:pPr>
        <w:pStyle w:val="FootnoteText"/>
      </w:pPr>
      <w:r>
        <w:rPr>
          <w:rStyle w:val="FootnoteReference"/>
        </w:rPr>
        <w:footnoteRef/>
      </w:r>
      <w:r>
        <w:t xml:space="preserve"> </w:t>
      </w:r>
      <w:r w:rsidRPr="00D965D0">
        <w:rPr>
          <w:rFonts w:ascii="Times New Roman" w:hAnsi="Times New Roman"/>
        </w:rPr>
        <w:t xml:space="preserve">Morgan Hill, CA, Code </w:t>
      </w:r>
      <w:r w:rsidRPr="00D965D0">
        <w:rPr>
          <w:rFonts w:ascii="Times New Roman" w:hAnsi="Times New Roman"/>
          <w:color w:val="000000"/>
        </w:rPr>
        <w:t>§</w:t>
      </w:r>
      <w:r w:rsidRPr="00D965D0">
        <w:rPr>
          <w:rFonts w:ascii="Times New Roman" w:hAnsi="Times New Roman"/>
        </w:rPr>
        <w:t>15.65.</w:t>
      </w:r>
    </w:p>
  </w:footnote>
  <w:footnote w:id="22">
    <w:p w:rsidR="00DF59EE" w:rsidRDefault="00DF59EE">
      <w:pPr>
        <w:pStyle w:val="FootnoteText"/>
      </w:pPr>
      <w:r>
        <w:rPr>
          <w:rStyle w:val="FootnoteReference"/>
        </w:rPr>
        <w:footnoteRef/>
      </w:r>
      <w:r>
        <w:t xml:space="preserve"> </w:t>
      </w:r>
      <w:r w:rsidRPr="00D965D0">
        <w:rPr>
          <w:rFonts w:ascii="Times New Roman" w:hAnsi="Times New Roman"/>
        </w:rPr>
        <w:t xml:space="preserve">Healdsburg, CA, Code </w:t>
      </w:r>
      <w:r w:rsidRPr="00D965D0">
        <w:rPr>
          <w:rFonts w:ascii="Times New Roman" w:hAnsi="Times New Roman"/>
          <w:color w:val="000000"/>
        </w:rPr>
        <w:t>§</w:t>
      </w:r>
      <w:r>
        <w:rPr>
          <w:rFonts w:ascii="Times New Roman" w:hAnsi="Times New Roman"/>
        </w:rPr>
        <w:t>15.16; Healdsburg, CA, Resolution 6-2009</w:t>
      </w:r>
      <w:r w:rsidRPr="00D965D0">
        <w:rPr>
          <w:rFonts w:ascii="Times New Roman" w:hAnsi="Times New Roman"/>
        </w:rPr>
        <w:t>.</w:t>
      </w:r>
    </w:p>
  </w:footnote>
  <w:footnote w:id="23">
    <w:p w:rsidR="00DF59EE" w:rsidRDefault="00DF59EE">
      <w:pPr>
        <w:pStyle w:val="FootnoteText"/>
      </w:pPr>
      <w:r>
        <w:rPr>
          <w:rStyle w:val="FootnoteReference"/>
        </w:rPr>
        <w:footnoteRef/>
      </w:r>
      <w:r>
        <w:t xml:space="preserve"> </w:t>
      </w:r>
      <w:r w:rsidRPr="00D965D0">
        <w:rPr>
          <w:rFonts w:ascii="Times New Roman" w:hAnsi="Times New Roman"/>
        </w:rPr>
        <w:t xml:space="preserve">Davis, CA, Municipal Code </w:t>
      </w:r>
      <w:r w:rsidRPr="00D965D0">
        <w:rPr>
          <w:rFonts w:ascii="Times New Roman" w:hAnsi="Times New Roman"/>
          <w:color w:val="000000"/>
        </w:rPr>
        <w:t>§</w:t>
      </w:r>
      <w:r w:rsidRPr="00D965D0">
        <w:rPr>
          <w:rFonts w:ascii="Times New Roman" w:hAnsi="Times New Roman"/>
        </w:rPr>
        <w:t>8.20.</w:t>
      </w:r>
    </w:p>
  </w:footnote>
  <w:footnote w:id="24">
    <w:p w:rsidR="00DF59EE" w:rsidRDefault="00DF59EE">
      <w:pPr>
        <w:pStyle w:val="FootnoteText"/>
      </w:pPr>
      <w:r>
        <w:rPr>
          <w:rStyle w:val="FootnoteReference"/>
        </w:rPr>
        <w:footnoteRef/>
      </w:r>
      <w:r>
        <w:t xml:space="preserve"> </w:t>
      </w:r>
      <w:r w:rsidRPr="00B45B7B">
        <w:rPr>
          <w:rFonts w:ascii="Times New Roman" w:hAnsi="Times New Roman"/>
        </w:rPr>
        <w:t xml:space="preserve">For more information on the USGBC LEED rating system see </w:t>
      </w:r>
      <w:hyperlink r:id="rId1" w:anchor="v2.2" w:history="1">
        <w:r w:rsidRPr="00915384">
          <w:rPr>
            <w:rStyle w:val="Hyperlink"/>
            <w:rFonts w:ascii="Times New Roman" w:hAnsi="Times New Roman"/>
          </w:rPr>
          <w:t>http://www.usgbc.org/DisplayPage.aspx?CMSPageID=220#v2.2</w:t>
        </w:r>
      </w:hyperlink>
      <w:r w:rsidRPr="00B45B7B">
        <w:rPr>
          <w:rFonts w:ascii="Times New Roman" w:hAnsi="Times New Roman"/>
        </w:rPr>
        <w:t>.</w:t>
      </w:r>
      <w:r>
        <w:rPr>
          <w:rFonts w:ascii="Times New Roman" w:hAnsi="Times New Roman"/>
        </w:rPr>
        <w:t xml:space="preserve"> </w:t>
      </w:r>
    </w:p>
  </w:footnote>
  <w:footnote w:id="25">
    <w:p w:rsidR="00DF59EE" w:rsidRDefault="00DF59EE">
      <w:pPr>
        <w:pStyle w:val="FootnoteText"/>
      </w:pPr>
      <w:r w:rsidRPr="00BC6D9B">
        <w:rPr>
          <w:rStyle w:val="FootnoteReference"/>
          <w:rFonts w:ascii="Times New Roman" w:hAnsi="Times New Roman"/>
        </w:rPr>
        <w:footnoteRef/>
      </w:r>
      <w:r w:rsidRPr="00BC6D9B">
        <w:rPr>
          <w:rFonts w:ascii="Times New Roman" w:hAnsi="Times New Roman"/>
        </w:rPr>
        <w:t xml:space="preserve"> For more information</w:t>
      </w:r>
      <w:r>
        <w:rPr>
          <w:rFonts w:ascii="Times New Roman" w:hAnsi="Times New Roman"/>
        </w:rPr>
        <w:t xml:space="preserve"> on the Energy Star program and the HERS rating system see</w:t>
      </w:r>
      <w:r w:rsidRPr="00BC6D9B">
        <w:rPr>
          <w:rFonts w:ascii="Times New Roman" w:hAnsi="Times New Roman"/>
        </w:rPr>
        <w:t xml:space="preserve"> </w:t>
      </w:r>
      <w:hyperlink r:id="rId2" w:history="1">
        <w:r w:rsidRPr="00915384">
          <w:rPr>
            <w:rStyle w:val="Hyperlink"/>
            <w:rFonts w:ascii="Times New Roman" w:hAnsi="Times New Roman"/>
          </w:rPr>
          <w:t>http://www.energystar.gov/index.cfm?c=bldrs_lenders_raters.nh_HERS</w:t>
        </w:r>
      </w:hyperlink>
      <w:r>
        <w:rPr>
          <w:rFonts w:ascii="Times New Roman" w:hAnsi="Times New Roman"/>
        </w:rPr>
        <w:t xml:space="preserve">. </w:t>
      </w:r>
    </w:p>
  </w:footnote>
  <w:footnote w:id="26">
    <w:p w:rsidR="00DF59EE" w:rsidRDefault="00DF59EE">
      <w:pPr>
        <w:pStyle w:val="FootnoteText"/>
      </w:pPr>
      <w:r>
        <w:rPr>
          <w:rStyle w:val="FootnoteReference"/>
        </w:rPr>
        <w:footnoteRef/>
      </w:r>
      <w:r>
        <w:t xml:space="preserve"> </w:t>
      </w:r>
      <w:r w:rsidRPr="00BC6D9B">
        <w:rPr>
          <w:rFonts w:ascii="Times New Roman" w:hAnsi="Times New Roman"/>
        </w:rPr>
        <w:t xml:space="preserve">For more information on the </w:t>
      </w:r>
      <w:r>
        <w:rPr>
          <w:rFonts w:ascii="Times New Roman" w:hAnsi="Times New Roman"/>
        </w:rPr>
        <w:t xml:space="preserve">Build It Green GreenPoint Rated program see </w:t>
      </w:r>
      <w:hyperlink r:id="rId3" w:history="1">
        <w:r w:rsidRPr="00915384">
          <w:rPr>
            <w:rStyle w:val="Hyperlink"/>
            <w:rFonts w:ascii="Times New Roman" w:hAnsi="Times New Roman"/>
          </w:rPr>
          <w:t>http://www.builditgreen.org/guidelines--checklists/</w:t>
        </w:r>
      </w:hyperlink>
      <w:r w:rsidRPr="00BC6D9B">
        <w:rPr>
          <w:rFonts w:ascii="Times New Roman" w:hAnsi="Times New Roman"/>
        </w:rPr>
        <w:t>.</w:t>
      </w:r>
      <w:r>
        <w:rPr>
          <w:rFonts w:ascii="Times New Roman" w:hAnsi="Times New Roman"/>
        </w:rPr>
        <w:t xml:space="preserve"> </w:t>
      </w:r>
    </w:p>
  </w:footnote>
  <w:footnote w:id="27">
    <w:p w:rsidR="00DF59EE" w:rsidRDefault="00DF59EE">
      <w:pPr>
        <w:pStyle w:val="FootnoteText"/>
      </w:pPr>
      <w:r>
        <w:rPr>
          <w:rStyle w:val="FootnoteReference"/>
        </w:rPr>
        <w:footnoteRef/>
      </w:r>
      <w:r>
        <w:t xml:space="preserve"> </w:t>
      </w:r>
      <w:r>
        <w:rPr>
          <w:rFonts w:ascii="Times New Roman" w:hAnsi="Times New Roman"/>
          <w:bCs/>
          <w:i/>
          <w:iCs/>
        </w:rPr>
        <w:t>E.g.</w:t>
      </w:r>
      <w:r w:rsidRPr="00D965D0">
        <w:rPr>
          <w:rFonts w:ascii="Times New Roman" w:hAnsi="Times New Roman"/>
          <w:bCs/>
          <w:i/>
          <w:iCs/>
        </w:rPr>
        <w:t xml:space="preserve"> </w:t>
      </w:r>
      <w:r w:rsidRPr="00D965D0">
        <w:rPr>
          <w:rFonts w:ascii="Times New Roman" w:hAnsi="Times New Roman"/>
          <w:bCs/>
        </w:rPr>
        <w:t xml:space="preserve">Carmel, CA, Municipal Code </w:t>
      </w:r>
      <w:r w:rsidRPr="00D965D0">
        <w:rPr>
          <w:rFonts w:ascii="Times New Roman" w:hAnsi="Times New Roman"/>
          <w:color w:val="000000"/>
        </w:rPr>
        <w:t>§</w:t>
      </w:r>
      <w:r w:rsidRPr="00D965D0">
        <w:rPr>
          <w:rFonts w:ascii="Times New Roman" w:hAnsi="Times New Roman"/>
          <w:bCs/>
        </w:rPr>
        <w:t>15.54</w:t>
      </w:r>
      <w:r>
        <w:rPr>
          <w:rFonts w:ascii="Times New Roman" w:hAnsi="Times New Roman"/>
          <w:bCs/>
        </w:rPr>
        <w:t xml:space="preserve"> and Standards of Compliance</w:t>
      </w:r>
      <w:r w:rsidRPr="00D965D0">
        <w:rPr>
          <w:rFonts w:ascii="Times New Roman" w:hAnsi="Times New Roman"/>
          <w:bCs/>
        </w:rPr>
        <w:t xml:space="preserve">; Davis, CA, Code </w:t>
      </w:r>
      <w:r w:rsidRPr="00D965D0">
        <w:rPr>
          <w:rFonts w:ascii="Times New Roman" w:hAnsi="Times New Roman"/>
          <w:color w:val="000000"/>
        </w:rPr>
        <w:t>§8.20</w:t>
      </w:r>
      <w:r w:rsidRPr="00D965D0">
        <w:rPr>
          <w:rFonts w:ascii="Times New Roman" w:hAnsi="Times New Roman"/>
          <w:bCs/>
        </w:rPr>
        <w:t>.</w:t>
      </w:r>
    </w:p>
  </w:footnote>
  <w:footnote w:id="28">
    <w:p w:rsidR="00DF59EE" w:rsidRDefault="00DF59EE">
      <w:pPr>
        <w:pStyle w:val="FootnoteText"/>
      </w:pPr>
      <w:r>
        <w:rPr>
          <w:rStyle w:val="FootnoteReference"/>
        </w:rPr>
        <w:footnoteRef/>
      </w:r>
      <w:r>
        <w:t xml:space="preserve"> </w:t>
      </w:r>
      <w:r>
        <w:rPr>
          <w:rFonts w:ascii="Times New Roman" w:hAnsi="Times New Roman"/>
          <w:bCs/>
          <w:i/>
          <w:iCs/>
        </w:rPr>
        <w:t>E.g.</w:t>
      </w:r>
      <w:r w:rsidRPr="00D965D0">
        <w:rPr>
          <w:rFonts w:ascii="Times New Roman" w:hAnsi="Times New Roman"/>
          <w:bCs/>
          <w:i/>
          <w:iCs/>
        </w:rPr>
        <w:t xml:space="preserve"> </w:t>
      </w:r>
      <w:r w:rsidRPr="00D965D0">
        <w:rPr>
          <w:rFonts w:ascii="Times New Roman" w:hAnsi="Times New Roman"/>
          <w:bCs/>
        </w:rPr>
        <w:t xml:space="preserve">West Hollywood, CA, Municipal Code </w:t>
      </w:r>
      <w:r w:rsidRPr="00D965D0">
        <w:rPr>
          <w:rFonts w:ascii="Times New Roman" w:hAnsi="Times New Roman"/>
          <w:color w:val="000000"/>
        </w:rPr>
        <w:t>§19.20.060</w:t>
      </w:r>
      <w:r w:rsidRPr="00D965D0">
        <w:rPr>
          <w:rFonts w:ascii="Times New Roman" w:hAnsi="Times New Roman"/>
          <w:bCs/>
        </w:rPr>
        <w:t>.</w:t>
      </w:r>
    </w:p>
  </w:footnote>
  <w:footnote w:id="29">
    <w:p w:rsidR="00DF59EE" w:rsidRDefault="00DF59EE">
      <w:pPr>
        <w:pStyle w:val="FootnoteText"/>
      </w:pPr>
      <w:r>
        <w:rPr>
          <w:rStyle w:val="FootnoteReference"/>
        </w:rPr>
        <w:footnoteRef/>
      </w:r>
      <w:r>
        <w:t xml:space="preserve"> </w:t>
      </w:r>
      <w:r>
        <w:rPr>
          <w:rFonts w:ascii="Times New Roman" w:hAnsi="Times New Roman"/>
          <w:i/>
        </w:rPr>
        <w:t>E.g.</w:t>
      </w:r>
      <w:r w:rsidRPr="00D965D0">
        <w:rPr>
          <w:rFonts w:ascii="Times New Roman" w:hAnsi="Times New Roman"/>
          <w:i/>
        </w:rPr>
        <w:t xml:space="preserve"> </w:t>
      </w:r>
      <w:r w:rsidRPr="00D965D0">
        <w:rPr>
          <w:rFonts w:ascii="Times New Roman" w:hAnsi="Times New Roman"/>
        </w:rPr>
        <w:t xml:space="preserve">Boulder, CO, Municipal Code </w:t>
      </w:r>
      <w:r w:rsidRPr="00D965D0">
        <w:rPr>
          <w:rFonts w:ascii="Times New Roman" w:hAnsi="Times New Roman"/>
          <w:color w:val="000000"/>
        </w:rPr>
        <w:t>§</w:t>
      </w:r>
      <w:r w:rsidRPr="00D965D0">
        <w:rPr>
          <w:rFonts w:ascii="Times New Roman" w:hAnsi="Times New Roman"/>
        </w:rPr>
        <w:t>10-7.5; Islip, NY, Municipal Code</w:t>
      </w:r>
      <w:r>
        <w:rPr>
          <w:rFonts w:ascii="Times New Roman" w:hAnsi="Times New Roman"/>
        </w:rPr>
        <w:t xml:space="preserve"> Chapter 68, Article IV,</w:t>
      </w:r>
      <w:r w:rsidRPr="00D965D0">
        <w:rPr>
          <w:rFonts w:ascii="Times New Roman" w:hAnsi="Times New Roman"/>
        </w:rPr>
        <w:t xml:space="preserve"> </w:t>
      </w:r>
      <w:r w:rsidRPr="00D965D0">
        <w:rPr>
          <w:rFonts w:ascii="Times New Roman" w:hAnsi="Times New Roman"/>
          <w:color w:val="000000"/>
        </w:rPr>
        <w:t>§</w:t>
      </w:r>
      <w:r w:rsidRPr="00D965D0">
        <w:rPr>
          <w:rFonts w:ascii="Times New Roman" w:hAnsi="Times New Roman"/>
        </w:rPr>
        <w:t xml:space="preserve">68-30.1; Riverhead, NY, Code </w:t>
      </w:r>
      <w:r>
        <w:rPr>
          <w:rFonts w:ascii="Times New Roman" w:hAnsi="Times New Roman"/>
        </w:rPr>
        <w:t xml:space="preserve">Chapter 52, Article I, </w:t>
      </w:r>
      <w:r w:rsidRPr="00D965D0">
        <w:rPr>
          <w:rFonts w:ascii="Times New Roman" w:hAnsi="Times New Roman"/>
          <w:color w:val="000000"/>
        </w:rPr>
        <w:t>§</w:t>
      </w:r>
      <w:r w:rsidRPr="00D965D0">
        <w:rPr>
          <w:rFonts w:ascii="Times New Roman" w:hAnsi="Times New Roman"/>
        </w:rPr>
        <w:t xml:space="preserve">52-21; San Rafael, CA, Code </w:t>
      </w:r>
      <w:r>
        <w:rPr>
          <w:rFonts w:ascii="Times New Roman" w:hAnsi="Times New Roman"/>
        </w:rPr>
        <w:t xml:space="preserve">Title 14, Division IV, </w:t>
      </w:r>
      <w:r w:rsidRPr="00D965D0">
        <w:rPr>
          <w:rFonts w:ascii="Times New Roman" w:hAnsi="Times New Roman"/>
          <w:color w:val="000000"/>
        </w:rPr>
        <w:t>§</w:t>
      </w:r>
      <w:r w:rsidRPr="00D965D0">
        <w:rPr>
          <w:rFonts w:ascii="Times New Roman" w:hAnsi="Times New Roman"/>
        </w:rPr>
        <w:t>14.16.365</w:t>
      </w:r>
      <w:r>
        <w:rPr>
          <w:rFonts w:ascii="Times New Roman" w:hAnsi="Times New Roman"/>
        </w:rPr>
        <w:t xml:space="preserve"> and Standards of Compliance</w:t>
      </w:r>
      <w:r w:rsidRPr="00D965D0">
        <w:rPr>
          <w:rFonts w:ascii="Times New Roman" w:hAnsi="Times New Roman"/>
        </w:rPr>
        <w:t>.</w:t>
      </w:r>
    </w:p>
  </w:footnote>
  <w:footnote w:id="30">
    <w:p w:rsidR="00DF59EE" w:rsidRDefault="00DF59EE">
      <w:pPr>
        <w:pStyle w:val="FootnoteText"/>
      </w:pPr>
      <w:r>
        <w:rPr>
          <w:rStyle w:val="FootnoteReference"/>
        </w:rPr>
        <w:footnoteRef/>
      </w:r>
      <w:r>
        <w:t xml:space="preserve"> </w:t>
      </w:r>
      <w:r w:rsidRPr="00D965D0">
        <w:rPr>
          <w:rFonts w:ascii="Times New Roman" w:hAnsi="Times New Roman"/>
        </w:rPr>
        <w:t xml:space="preserve">Pasadena, CA, Municipal Code </w:t>
      </w:r>
      <w:r w:rsidRPr="00D965D0">
        <w:rPr>
          <w:rFonts w:ascii="Times New Roman" w:hAnsi="Times New Roman"/>
          <w:color w:val="000000"/>
        </w:rPr>
        <w:t>§</w:t>
      </w:r>
      <w:r>
        <w:rPr>
          <w:rFonts w:ascii="Times New Roman" w:hAnsi="Times New Roman"/>
        </w:rPr>
        <w:t>14.90</w:t>
      </w:r>
      <w:r w:rsidRPr="00D965D0">
        <w:rPr>
          <w:rFonts w:ascii="Times New Roman" w:hAnsi="Times New Roman"/>
        </w:rPr>
        <w:t xml:space="preserve">; San Francisco, CA, Building Code Chapter 13C; Taos, NM, Building Code </w:t>
      </w:r>
      <w:r w:rsidRPr="00D965D0">
        <w:rPr>
          <w:rFonts w:ascii="Times New Roman" w:hAnsi="Times New Roman"/>
          <w:color w:val="000000"/>
        </w:rPr>
        <w:t>§</w:t>
      </w:r>
      <w:r w:rsidRPr="00FF3557">
        <w:rPr>
          <w:rFonts w:ascii="Times New Roman" w:hAnsi="Times New Roman"/>
        </w:rPr>
        <w:t>15.04.040.</w:t>
      </w:r>
    </w:p>
  </w:footnote>
  <w:footnote w:id="31">
    <w:p w:rsidR="00DF59EE" w:rsidRDefault="00DF59EE">
      <w:pPr>
        <w:pStyle w:val="FootnoteText"/>
      </w:pPr>
      <w:r w:rsidRPr="00FF3557">
        <w:rPr>
          <w:rStyle w:val="FootnoteReference"/>
        </w:rPr>
        <w:footnoteRef/>
      </w:r>
      <w:r w:rsidRPr="00FF3557">
        <w:t xml:space="preserve"> </w:t>
      </w:r>
      <w:r w:rsidRPr="00FF3557">
        <w:rPr>
          <w:rFonts w:ascii="Times New Roman" w:hAnsi="Times New Roman"/>
        </w:rPr>
        <w:t>Windsor, CA</w:t>
      </w:r>
      <w:r>
        <w:rPr>
          <w:rFonts w:ascii="Times New Roman" w:hAnsi="Times New Roman"/>
        </w:rPr>
        <w:t>, Municipal Code Title 7, Chapter 5</w:t>
      </w:r>
      <w:r w:rsidRPr="00FF3557">
        <w:rPr>
          <w:rFonts w:ascii="Times New Roman" w:hAnsi="Times New Roman"/>
        </w:rPr>
        <w:t>; Santa Monica, CA</w:t>
      </w:r>
      <w:r>
        <w:rPr>
          <w:rFonts w:ascii="Times New Roman" w:hAnsi="Times New Roman"/>
        </w:rPr>
        <w:t xml:space="preserve">, Code </w:t>
      </w:r>
      <w:r w:rsidRPr="00D965D0">
        <w:rPr>
          <w:rFonts w:ascii="Times New Roman" w:hAnsi="Times New Roman"/>
          <w:color w:val="000000"/>
        </w:rPr>
        <w:t>§</w:t>
      </w:r>
      <w:r>
        <w:rPr>
          <w:rFonts w:ascii="Times New Roman" w:hAnsi="Times New Roman"/>
        </w:rPr>
        <w:t>8-108</w:t>
      </w:r>
      <w:r w:rsidRPr="00FF3557">
        <w:rPr>
          <w:rFonts w:ascii="Times New Roman" w:hAnsi="Times New Roman"/>
        </w:rPr>
        <w:t>.</w:t>
      </w:r>
    </w:p>
  </w:footnote>
  <w:footnote w:id="32">
    <w:p w:rsidR="00DF59EE" w:rsidRDefault="00DF59EE">
      <w:pPr>
        <w:pStyle w:val="FootnoteText"/>
      </w:pPr>
      <w:r>
        <w:rPr>
          <w:rStyle w:val="FootnoteReference"/>
        </w:rPr>
        <w:footnoteRef/>
      </w:r>
      <w:r>
        <w:t xml:space="preserve"> </w:t>
      </w:r>
      <w:r w:rsidRPr="00D965D0">
        <w:rPr>
          <w:rFonts w:ascii="Times New Roman" w:hAnsi="Times New Roman"/>
        </w:rPr>
        <w:t xml:space="preserve">Washington D.C., Bill B16-0515; Babylon, NY, City Code </w:t>
      </w:r>
      <w:r>
        <w:rPr>
          <w:rFonts w:ascii="Times New Roman" w:hAnsi="Times New Roman"/>
          <w:color w:val="000000"/>
        </w:rPr>
        <w:t>Chapter 89, Article VIII</w:t>
      </w:r>
      <w:r w:rsidRPr="00D965D0">
        <w:rPr>
          <w:rFonts w:ascii="Times New Roman" w:hAnsi="Times New Roman"/>
        </w:rPr>
        <w:t xml:space="preserve">; Greenburgh, NY, Code </w:t>
      </w:r>
      <w:r w:rsidRPr="00D965D0">
        <w:rPr>
          <w:rFonts w:ascii="Times New Roman" w:hAnsi="Times New Roman"/>
          <w:color w:val="000000"/>
        </w:rPr>
        <w:t>§</w:t>
      </w:r>
      <w:r w:rsidRPr="00D965D0">
        <w:rPr>
          <w:rFonts w:ascii="Times New Roman" w:hAnsi="Times New Roman"/>
        </w:rPr>
        <w:t xml:space="preserve">233; Huntington, NY, City Code </w:t>
      </w:r>
      <w:r w:rsidRPr="00D965D0">
        <w:rPr>
          <w:rFonts w:ascii="Times New Roman" w:hAnsi="Times New Roman"/>
          <w:color w:val="000000"/>
        </w:rPr>
        <w:t>§</w:t>
      </w:r>
      <w:r w:rsidRPr="00D965D0">
        <w:rPr>
          <w:rFonts w:ascii="Times New Roman" w:hAnsi="Times New Roman"/>
        </w:rPr>
        <w:t>197</w:t>
      </w:r>
      <w:r>
        <w:rPr>
          <w:rFonts w:ascii="Times New Roman" w:hAnsi="Times New Roman"/>
        </w:rPr>
        <w:t>-4</w:t>
      </w:r>
      <w:r w:rsidRPr="00D965D0">
        <w:rPr>
          <w:rFonts w:ascii="Times New Roman" w:hAnsi="Times New Roman"/>
        </w:rPr>
        <w:t>.</w:t>
      </w:r>
    </w:p>
  </w:footnote>
  <w:footnote w:id="33">
    <w:p w:rsidR="00DF59EE" w:rsidRDefault="00DF59EE">
      <w:pPr>
        <w:pStyle w:val="FootnoteText"/>
      </w:pPr>
      <w:r>
        <w:rPr>
          <w:rStyle w:val="FootnoteReference"/>
        </w:rPr>
        <w:footnoteRef/>
      </w:r>
      <w:r>
        <w:t xml:space="preserve"> </w:t>
      </w:r>
      <w:r w:rsidRPr="00D965D0">
        <w:rPr>
          <w:rFonts w:ascii="Times New Roman" w:hAnsi="Times New Roman"/>
        </w:rPr>
        <w:t xml:space="preserve">Calabasas, CA, City Code </w:t>
      </w:r>
      <w:r>
        <w:rPr>
          <w:rFonts w:ascii="Times New Roman" w:hAnsi="Times New Roman"/>
        </w:rPr>
        <w:t xml:space="preserve">Title 17, Article III, </w:t>
      </w:r>
      <w:r w:rsidRPr="00D965D0">
        <w:rPr>
          <w:rFonts w:ascii="Times New Roman" w:hAnsi="Times New Roman"/>
          <w:color w:val="000000"/>
        </w:rPr>
        <w:t>§</w:t>
      </w:r>
      <w:r w:rsidRPr="00D965D0">
        <w:rPr>
          <w:rFonts w:ascii="Times New Roman" w:hAnsi="Times New Roman"/>
        </w:rPr>
        <w:t xml:space="preserve">17.34; San Jose, CA, Code </w:t>
      </w:r>
      <w:r w:rsidRPr="00D965D0">
        <w:rPr>
          <w:rFonts w:ascii="Times New Roman" w:hAnsi="Times New Roman"/>
          <w:color w:val="000000"/>
        </w:rPr>
        <w:t>§</w:t>
      </w:r>
      <w:r>
        <w:rPr>
          <w:rFonts w:ascii="Times New Roman" w:hAnsi="Times New Roman"/>
        </w:rPr>
        <w:t>17.8</w:t>
      </w:r>
      <w:r w:rsidRPr="00D965D0">
        <w:rPr>
          <w:rFonts w:ascii="Times New Roman" w:hAnsi="Times New Roman"/>
        </w:rPr>
        <w:t xml:space="preserve">4; Healdsburg, CA, Code </w:t>
      </w:r>
      <w:r w:rsidRPr="00D965D0">
        <w:rPr>
          <w:rFonts w:ascii="Times New Roman" w:hAnsi="Times New Roman"/>
          <w:color w:val="000000"/>
        </w:rPr>
        <w:t>§</w:t>
      </w:r>
      <w:r w:rsidRPr="00D965D0">
        <w:rPr>
          <w:rFonts w:ascii="Times New Roman" w:hAnsi="Times New Roman"/>
        </w:rPr>
        <w:t>15.16</w:t>
      </w:r>
      <w:r>
        <w:rPr>
          <w:rFonts w:ascii="Times New Roman" w:hAnsi="Times New Roman"/>
        </w:rPr>
        <w:t>; Healdsburg, CA, Resolution 61-2009</w:t>
      </w:r>
      <w:r w:rsidRPr="00D965D0">
        <w:rPr>
          <w:rFonts w:ascii="Times New Roman" w:hAnsi="Times New Roman"/>
        </w:rPr>
        <w:t>.</w:t>
      </w:r>
    </w:p>
  </w:footnote>
  <w:footnote w:id="34">
    <w:p w:rsidR="00DF59EE" w:rsidRDefault="00DF59EE">
      <w:pPr>
        <w:pStyle w:val="FootnoteText"/>
      </w:pPr>
      <w:r>
        <w:rPr>
          <w:rStyle w:val="FootnoteReference"/>
        </w:rPr>
        <w:footnoteRef/>
      </w:r>
      <w:r>
        <w:t xml:space="preserve"> Portland, OR, Resolution 6262.</w:t>
      </w:r>
    </w:p>
  </w:footnote>
  <w:footnote w:id="35">
    <w:p w:rsidR="00DF59EE" w:rsidRDefault="00DF59EE">
      <w:pPr>
        <w:pStyle w:val="FootnoteText"/>
      </w:pPr>
      <w:r>
        <w:rPr>
          <w:rStyle w:val="FootnoteReference"/>
        </w:rPr>
        <w:footnoteRef/>
      </w:r>
      <w:r>
        <w:t xml:space="preserve"> </w:t>
      </w:r>
      <w:r w:rsidRPr="00D965D0">
        <w:rPr>
          <w:rFonts w:ascii="Times New Roman" w:hAnsi="Times New Roman"/>
        </w:rPr>
        <w:t xml:space="preserve">San Francisco, CA, Building Code Chapter 13C; Palo Alto, CA, Municipal Code </w:t>
      </w:r>
      <w:r w:rsidRPr="00D965D0">
        <w:rPr>
          <w:rFonts w:ascii="Times New Roman" w:hAnsi="Times New Roman"/>
          <w:color w:val="000000"/>
        </w:rPr>
        <w:t>§</w:t>
      </w:r>
      <w:r w:rsidRPr="00D965D0">
        <w:rPr>
          <w:rFonts w:ascii="Times New Roman" w:hAnsi="Times New Roman"/>
        </w:rPr>
        <w:t>18.44</w:t>
      </w:r>
      <w:r>
        <w:rPr>
          <w:rFonts w:ascii="Times New Roman" w:hAnsi="Times New Roman"/>
        </w:rPr>
        <w:t xml:space="preserve"> and Standards of Compliance</w:t>
      </w:r>
      <w:r w:rsidRPr="00D965D0">
        <w:rPr>
          <w:rFonts w:ascii="Times New Roman" w:hAnsi="Times New Roman"/>
        </w:rPr>
        <w:t>.</w:t>
      </w:r>
    </w:p>
  </w:footnote>
  <w:footnote w:id="36">
    <w:p w:rsidR="00DF59EE" w:rsidRDefault="00DF59EE">
      <w:pPr>
        <w:pStyle w:val="FootnoteText"/>
      </w:pPr>
      <w:r>
        <w:rPr>
          <w:rStyle w:val="FootnoteReference"/>
        </w:rPr>
        <w:footnoteRef/>
      </w:r>
      <w:r>
        <w:t xml:space="preserve"> </w:t>
      </w:r>
      <w:r w:rsidRPr="00D965D0">
        <w:rPr>
          <w:rFonts w:ascii="Times New Roman" w:hAnsi="Times New Roman"/>
        </w:rPr>
        <w:t xml:space="preserve">Gaithersburg, MD, Code </w:t>
      </w:r>
      <w:r>
        <w:rPr>
          <w:rFonts w:ascii="Times New Roman" w:hAnsi="Times New Roman"/>
        </w:rPr>
        <w:t xml:space="preserve">Chapter 5, Article I, </w:t>
      </w:r>
      <w:r w:rsidRPr="00D965D0">
        <w:rPr>
          <w:rFonts w:ascii="Times New Roman" w:hAnsi="Times New Roman"/>
          <w:color w:val="000000"/>
        </w:rPr>
        <w:t>§</w:t>
      </w:r>
      <w:r w:rsidRPr="00D965D0">
        <w:rPr>
          <w:rFonts w:ascii="Times New Roman" w:hAnsi="Times New Roman"/>
        </w:rPr>
        <w:t>5-3</w:t>
      </w:r>
      <w:r>
        <w:rPr>
          <w:rFonts w:ascii="Times New Roman" w:hAnsi="Times New Roman"/>
        </w:rPr>
        <w:t>, Subsection 3110</w:t>
      </w:r>
      <w:r w:rsidRPr="00D965D0">
        <w:rPr>
          <w:rFonts w:ascii="Times New Roman" w:hAnsi="Times New Roman"/>
        </w:rPr>
        <w:t>.</w:t>
      </w:r>
    </w:p>
  </w:footnote>
  <w:footnote w:id="37">
    <w:p w:rsidR="00DF59EE" w:rsidRDefault="00DF59EE">
      <w:pPr>
        <w:pStyle w:val="FootnoteText"/>
      </w:pPr>
      <w:r>
        <w:rPr>
          <w:rStyle w:val="FootnoteReference"/>
        </w:rPr>
        <w:footnoteRef/>
      </w:r>
      <w:r>
        <w:t xml:space="preserve"> </w:t>
      </w:r>
      <w:r>
        <w:rPr>
          <w:rFonts w:ascii="Times New Roman" w:hAnsi="Times New Roman"/>
          <w:i/>
          <w:iCs/>
        </w:rPr>
        <w:t>E.g.</w:t>
      </w:r>
      <w:r w:rsidRPr="00D965D0">
        <w:rPr>
          <w:rFonts w:ascii="Times New Roman" w:hAnsi="Times New Roman"/>
          <w:i/>
          <w:iCs/>
        </w:rPr>
        <w:t xml:space="preserve"> </w:t>
      </w:r>
      <w:r w:rsidRPr="00D965D0">
        <w:rPr>
          <w:rFonts w:ascii="Times New Roman" w:hAnsi="Times New Roman"/>
        </w:rPr>
        <w:t xml:space="preserve">Annapolis, MD, City Code </w:t>
      </w:r>
      <w:r w:rsidRPr="00D965D0">
        <w:rPr>
          <w:rFonts w:ascii="Times New Roman" w:hAnsi="Times New Roman"/>
          <w:color w:val="000000"/>
        </w:rPr>
        <w:t>§</w:t>
      </w:r>
      <w:r w:rsidRPr="00D965D0">
        <w:rPr>
          <w:rFonts w:ascii="Times New Roman" w:hAnsi="Times New Roman"/>
        </w:rPr>
        <w:t>17.14.</w:t>
      </w:r>
    </w:p>
  </w:footnote>
  <w:footnote w:id="38">
    <w:p w:rsidR="00DF59EE" w:rsidRDefault="00DF59EE">
      <w:pPr>
        <w:pStyle w:val="FootnoteText"/>
      </w:pPr>
      <w:r>
        <w:rPr>
          <w:rStyle w:val="FootnoteReference"/>
        </w:rPr>
        <w:footnoteRef/>
      </w:r>
      <w:r>
        <w:t xml:space="preserve"> </w:t>
      </w:r>
      <w:r>
        <w:rPr>
          <w:rFonts w:ascii="Times New Roman" w:hAnsi="Times New Roman"/>
          <w:i/>
          <w:iCs/>
        </w:rPr>
        <w:t>E.g.</w:t>
      </w:r>
      <w:r w:rsidRPr="00D965D0">
        <w:rPr>
          <w:rFonts w:ascii="Times New Roman" w:hAnsi="Times New Roman"/>
          <w:i/>
          <w:iCs/>
        </w:rPr>
        <w:t xml:space="preserve"> </w:t>
      </w:r>
      <w:r w:rsidRPr="00D965D0">
        <w:rPr>
          <w:rFonts w:ascii="Times New Roman" w:hAnsi="Times New Roman"/>
        </w:rPr>
        <w:t xml:space="preserve">Brisbane, CA, Municipal Code </w:t>
      </w:r>
      <w:r w:rsidRPr="00D965D0">
        <w:rPr>
          <w:rFonts w:ascii="Times New Roman" w:hAnsi="Times New Roman"/>
          <w:color w:val="000000"/>
        </w:rPr>
        <w:t>§</w:t>
      </w:r>
      <w:r w:rsidRPr="00D965D0">
        <w:rPr>
          <w:rFonts w:ascii="Times New Roman" w:hAnsi="Times New Roman"/>
        </w:rPr>
        <w:t>15.80.</w:t>
      </w:r>
    </w:p>
  </w:footnote>
  <w:footnote w:id="39">
    <w:p w:rsidR="00DF59EE" w:rsidRDefault="00DF59EE">
      <w:pPr>
        <w:pStyle w:val="FootnoteText"/>
      </w:pPr>
      <w:r>
        <w:rPr>
          <w:rStyle w:val="FootnoteReference"/>
        </w:rPr>
        <w:footnoteRef/>
      </w:r>
      <w:r>
        <w:t xml:space="preserve"> </w:t>
      </w:r>
      <w:r>
        <w:rPr>
          <w:rFonts w:ascii="Times New Roman" w:hAnsi="Times New Roman"/>
          <w:i/>
          <w:iCs/>
        </w:rPr>
        <w:t>E.g.</w:t>
      </w:r>
      <w:r w:rsidRPr="00D965D0">
        <w:rPr>
          <w:rFonts w:ascii="Times New Roman" w:hAnsi="Times New Roman"/>
          <w:i/>
          <w:iCs/>
        </w:rPr>
        <w:t xml:space="preserve"> </w:t>
      </w:r>
      <w:r w:rsidRPr="00D965D0">
        <w:rPr>
          <w:rFonts w:ascii="Times New Roman" w:hAnsi="Times New Roman"/>
        </w:rPr>
        <w:t xml:space="preserve">Chamblee, GA, Municipal Code </w:t>
      </w:r>
      <w:r w:rsidRPr="00D965D0">
        <w:rPr>
          <w:rFonts w:ascii="Times New Roman" w:hAnsi="Times New Roman"/>
          <w:color w:val="000000"/>
        </w:rPr>
        <w:t>§</w:t>
      </w:r>
      <w:r w:rsidRPr="00D965D0">
        <w:rPr>
          <w:rFonts w:ascii="Times New Roman" w:hAnsi="Times New Roman"/>
        </w:rPr>
        <w:t>93-1</w:t>
      </w:r>
      <w:r>
        <w:rPr>
          <w:rFonts w:ascii="Times New Roman" w:hAnsi="Times New Roman"/>
        </w:rPr>
        <w:t>(d)</w:t>
      </w:r>
      <w:r w:rsidRPr="00D965D0">
        <w:rPr>
          <w:rFonts w:ascii="Times New Roman" w:hAnsi="Times New Roman"/>
        </w:rPr>
        <w:t>.</w:t>
      </w:r>
    </w:p>
  </w:footnote>
  <w:footnote w:id="40">
    <w:p w:rsidR="00DF59EE" w:rsidRDefault="00DF59EE">
      <w:pPr>
        <w:pStyle w:val="FootnoteText"/>
      </w:pPr>
      <w:r>
        <w:rPr>
          <w:rStyle w:val="FootnoteReference"/>
        </w:rPr>
        <w:footnoteRef/>
      </w:r>
      <w:r>
        <w:t xml:space="preserve"> </w:t>
      </w:r>
      <w:r>
        <w:rPr>
          <w:rFonts w:ascii="Times New Roman" w:hAnsi="Times New Roman"/>
          <w:i/>
          <w:iCs/>
        </w:rPr>
        <w:t>E.g.</w:t>
      </w:r>
      <w:r w:rsidRPr="00D965D0">
        <w:rPr>
          <w:rFonts w:ascii="Times New Roman" w:hAnsi="Times New Roman"/>
          <w:i/>
          <w:iCs/>
        </w:rPr>
        <w:t xml:space="preserve"> </w:t>
      </w:r>
      <w:r w:rsidRPr="00D965D0">
        <w:rPr>
          <w:rFonts w:ascii="Times New Roman" w:hAnsi="Times New Roman"/>
        </w:rPr>
        <w:t xml:space="preserve">Babylon, NY, City Code </w:t>
      </w:r>
      <w:r>
        <w:rPr>
          <w:rFonts w:ascii="Times New Roman" w:hAnsi="Times New Roman"/>
          <w:color w:val="000000"/>
        </w:rPr>
        <w:t>Chapter 89, Article VIII</w:t>
      </w:r>
      <w:r w:rsidRPr="00D965D0">
        <w:rPr>
          <w:rFonts w:ascii="Times New Roman" w:hAnsi="Times New Roman"/>
        </w:rPr>
        <w:t>.</w:t>
      </w:r>
    </w:p>
  </w:footnote>
  <w:footnote w:id="41">
    <w:p w:rsidR="00DF59EE" w:rsidRDefault="00DF59EE">
      <w:pPr>
        <w:pStyle w:val="FootnoteText"/>
      </w:pPr>
      <w:r>
        <w:rPr>
          <w:rStyle w:val="FootnoteReference"/>
        </w:rPr>
        <w:footnoteRef/>
      </w:r>
      <w:r>
        <w:t xml:space="preserve"> </w:t>
      </w:r>
      <w:r>
        <w:rPr>
          <w:rFonts w:ascii="Times New Roman" w:hAnsi="Times New Roman"/>
          <w:i/>
          <w:iCs/>
        </w:rPr>
        <w:t>E.g.</w:t>
      </w:r>
      <w:r w:rsidRPr="00D965D0">
        <w:rPr>
          <w:rFonts w:ascii="Times New Roman" w:hAnsi="Times New Roman"/>
          <w:i/>
          <w:iCs/>
        </w:rPr>
        <w:t xml:space="preserve"> </w:t>
      </w:r>
      <w:r w:rsidRPr="00D965D0">
        <w:rPr>
          <w:rFonts w:ascii="Times New Roman" w:hAnsi="Times New Roman"/>
        </w:rPr>
        <w:t xml:space="preserve">Livermore, CA, Code </w:t>
      </w:r>
      <w:r w:rsidRPr="00D965D0">
        <w:rPr>
          <w:rFonts w:ascii="Times New Roman" w:hAnsi="Times New Roman"/>
          <w:color w:val="000000"/>
        </w:rPr>
        <w:t>§</w:t>
      </w:r>
      <w:r w:rsidRPr="00D965D0">
        <w:rPr>
          <w:rFonts w:ascii="Times New Roman" w:hAnsi="Times New Roman"/>
        </w:rPr>
        <w:t>15.76.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28"/>
    <w:rsid w:val="00001C6C"/>
    <w:rsid w:val="0000298B"/>
    <w:rsid w:val="000203B4"/>
    <w:rsid w:val="0002138F"/>
    <w:rsid w:val="00021ADF"/>
    <w:rsid w:val="00036ED6"/>
    <w:rsid w:val="00040F0B"/>
    <w:rsid w:val="00047A6F"/>
    <w:rsid w:val="00051FB2"/>
    <w:rsid w:val="00061162"/>
    <w:rsid w:val="00065F92"/>
    <w:rsid w:val="00075BB1"/>
    <w:rsid w:val="00087203"/>
    <w:rsid w:val="000937AB"/>
    <w:rsid w:val="000B054C"/>
    <w:rsid w:val="000B3593"/>
    <w:rsid w:val="000C26F2"/>
    <w:rsid w:val="000C6693"/>
    <w:rsid w:val="000D1790"/>
    <w:rsid w:val="000D6A08"/>
    <w:rsid w:val="000E148C"/>
    <w:rsid w:val="000E47F3"/>
    <w:rsid w:val="000F070D"/>
    <w:rsid w:val="0010587F"/>
    <w:rsid w:val="00114E43"/>
    <w:rsid w:val="00126255"/>
    <w:rsid w:val="00146184"/>
    <w:rsid w:val="00157C9D"/>
    <w:rsid w:val="001616F9"/>
    <w:rsid w:val="00166C46"/>
    <w:rsid w:val="0017009E"/>
    <w:rsid w:val="001740E3"/>
    <w:rsid w:val="00183456"/>
    <w:rsid w:val="00186667"/>
    <w:rsid w:val="00195EE6"/>
    <w:rsid w:val="001A297A"/>
    <w:rsid w:val="001A7B72"/>
    <w:rsid w:val="001B218B"/>
    <w:rsid w:val="001B471B"/>
    <w:rsid w:val="001B574B"/>
    <w:rsid w:val="001C145E"/>
    <w:rsid w:val="001C2560"/>
    <w:rsid w:val="001C2D81"/>
    <w:rsid w:val="001C37FA"/>
    <w:rsid w:val="001C66D3"/>
    <w:rsid w:val="001E396A"/>
    <w:rsid w:val="001E5B83"/>
    <w:rsid w:val="001E73D1"/>
    <w:rsid w:val="001F2239"/>
    <w:rsid w:val="001F504F"/>
    <w:rsid w:val="0020529E"/>
    <w:rsid w:val="00206295"/>
    <w:rsid w:val="002137A0"/>
    <w:rsid w:val="00221D80"/>
    <w:rsid w:val="00227B88"/>
    <w:rsid w:val="00227EF3"/>
    <w:rsid w:val="002404D4"/>
    <w:rsid w:val="00245D66"/>
    <w:rsid w:val="00252047"/>
    <w:rsid w:val="002523B5"/>
    <w:rsid w:val="00255249"/>
    <w:rsid w:val="00266809"/>
    <w:rsid w:val="00271CBD"/>
    <w:rsid w:val="002773E4"/>
    <w:rsid w:val="00287B3F"/>
    <w:rsid w:val="002A0F31"/>
    <w:rsid w:val="002A3868"/>
    <w:rsid w:val="002B18B1"/>
    <w:rsid w:val="002B48EC"/>
    <w:rsid w:val="002B6CA3"/>
    <w:rsid w:val="002C349D"/>
    <w:rsid w:val="002C427B"/>
    <w:rsid w:val="002C7DF7"/>
    <w:rsid w:val="002D2E92"/>
    <w:rsid w:val="002F1A03"/>
    <w:rsid w:val="002F4A77"/>
    <w:rsid w:val="0031445C"/>
    <w:rsid w:val="0031493D"/>
    <w:rsid w:val="003234D8"/>
    <w:rsid w:val="00332FFE"/>
    <w:rsid w:val="00333DB0"/>
    <w:rsid w:val="00346656"/>
    <w:rsid w:val="003477C0"/>
    <w:rsid w:val="00363510"/>
    <w:rsid w:val="00386FCD"/>
    <w:rsid w:val="003A01C1"/>
    <w:rsid w:val="003A0810"/>
    <w:rsid w:val="003B0D7D"/>
    <w:rsid w:val="003B1FE8"/>
    <w:rsid w:val="003B7D00"/>
    <w:rsid w:val="003C438B"/>
    <w:rsid w:val="003D0C08"/>
    <w:rsid w:val="003D7C0E"/>
    <w:rsid w:val="003E3ED3"/>
    <w:rsid w:val="00402CFA"/>
    <w:rsid w:val="0042417F"/>
    <w:rsid w:val="00424680"/>
    <w:rsid w:val="00440F87"/>
    <w:rsid w:val="00442EB1"/>
    <w:rsid w:val="004644BF"/>
    <w:rsid w:val="004667DE"/>
    <w:rsid w:val="004745E1"/>
    <w:rsid w:val="00484666"/>
    <w:rsid w:val="00491E59"/>
    <w:rsid w:val="004A26B6"/>
    <w:rsid w:val="004A26EB"/>
    <w:rsid w:val="004A49B5"/>
    <w:rsid w:val="004A6606"/>
    <w:rsid w:val="004B06FD"/>
    <w:rsid w:val="004B2367"/>
    <w:rsid w:val="004B2A63"/>
    <w:rsid w:val="004B4F8F"/>
    <w:rsid w:val="004D07C6"/>
    <w:rsid w:val="004E2634"/>
    <w:rsid w:val="004E762E"/>
    <w:rsid w:val="004F4F9B"/>
    <w:rsid w:val="005014A8"/>
    <w:rsid w:val="00502D5A"/>
    <w:rsid w:val="00511DAE"/>
    <w:rsid w:val="0051298B"/>
    <w:rsid w:val="0051379C"/>
    <w:rsid w:val="005448D1"/>
    <w:rsid w:val="00545C2A"/>
    <w:rsid w:val="00553B5E"/>
    <w:rsid w:val="00594130"/>
    <w:rsid w:val="005A79E3"/>
    <w:rsid w:val="005C0747"/>
    <w:rsid w:val="005C3E88"/>
    <w:rsid w:val="005D0A78"/>
    <w:rsid w:val="005D27C0"/>
    <w:rsid w:val="005F2E0A"/>
    <w:rsid w:val="00612F8F"/>
    <w:rsid w:val="0065596E"/>
    <w:rsid w:val="00657860"/>
    <w:rsid w:val="00693039"/>
    <w:rsid w:val="00694747"/>
    <w:rsid w:val="006A491D"/>
    <w:rsid w:val="006B0F95"/>
    <w:rsid w:val="006B7776"/>
    <w:rsid w:val="006C653D"/>
    <w:rsid w:val="0071074E"/>
    <w:rsid w:val="00715611"/>
    <w:rsid w:val="007209BC"/>
    <w:rsid w:val="00742FBB"/>
    <w:rsid w:val="0074597E"/>
    <w:rsid w:val="0075383C"/>
    <w:rsid w:val="0076062E"/>
    <w:rsid w:val="00775820"/>
    <w:rsid w:val="00783BDA"/>
    <w:rsid w:val="007B08C0"/>
    <w:rsid w:val="007B3BC6"/>
    <w:rsid w:val="007B67F1"/>
    <w:rsid w:val="007D6FCF"/>
    <w:rsid w:val="007E097F"/>
    <w:rsid w:val="00801119"/>
    <w:rsid w:val="00802121"/>
    <w:rsid w:val="00804D30"/>
    <w:rsid w:val="00823236"/>
    <w:rsid w:val="00832526"/>
    <w:rsid w:val="00833840"/>
    <w:rsid w:val="00841291"/>
    <w:rsid w:val="00871E0F"/>
    <w:rsid w:val="00875A09"/>
    <w:rsid w:val="00877FCC"/>
    <w:rsid w:val="00885F6A"/>
    <w:rsid w:val="0089366D"/>
    <w:rsid w:val="008963F1"/>
    <w:rsid w:val="008A2718"/>
    <w:rsid w:val="008A33EB"/>
    <w:rsid w:val="008A6CF6"/>
    <w:rsid w:val="008B690E"/>
    <w:rsid w:val="008B7F17"/>
    <w:rsid w:val="008D3F99"/>
    <w:rsid w:val="008D50B4"/>
    <w:rsid w:val="008F3C76"/>
    <w:rsid w:val="00913134"/>
    <w:rsid w:val="00915384"/>
    <w:rsid w:val="00920C70"/>
    <w:rsid w:val="00925CBB"/>
    <w:rsid w:val="00942F40"/>
    <w:rsid w:val="009437D1"/>
    <w:rsid w:val="009742E8"/>
    <w:rsid w:val="00977D6A"/>
    <w:rsid w:val="00980678"/>
    <w:rsid w:val="00980B04"/>
    <w:rsid w:val="00994E0E"/>
    <w:rsid w:val="00995EB4"/>
    <w:rsid w:val="009A2D87"/>
    <w:rsid w:val="009B08EE"/>
    <w:rsid w:val="009B5321"/>
    <w:rsid w:val="009F6549"/>
    <w:rsid w:val="00A02F82"/>
    <w:rsid w:val="00A32A54"/>
    <w:rsid w:val="00A36C9E"/>
    <w:rsid w:val="00A37F91"/>
    <w:rsid w:val="00A53200"/>
    <w:rsid w:val="00A6000D"/>
    <w:rsid w:val="00A61C85"/>
    <w:rsid w:val="00A66868"/>
    <w:rsid w:val="00A75586"/>
    <w:rsid w:val="00A853AB"/>
    <w:rsid w:val="00A92BF1"/>
    <w:rsid w:val="00A959C2"/>
    <w:rsid w:val="00AA35AA"/>
    <w:rsid w:val="00AA4CFC"/>
    <w:rsid w:val="00AB28DD"/>
    <w:rsid w:val="00AE10C3"/>
    <w:rsid w:val="00AE5D2B"/>
    <w:rsid w:val="00AF0706"/>
    <w:rsid w:val="00AF63C8"/>
    <w:rsid w:val="00B06D1D"/>
    <w:rsid w:val="00B45B7B"/>
    <w:rsid w:val="00B47F98"/>
    <w:rsid w:val="00B53362"/>
    <w:rsid w:val="00B54B30"/>
    <w:rsid w:val="00B72058"/>
    <w:rsid w:val="00B8022B"/>
    <w:rsid w:val="00B81A56"/>
    <w:rsid w:val="00B82E4A"/>
    <w:rsid w:val="00B82F18"/>
    <w:rsid w:val="00B9084B"/>
    <w:rsid w:val="00B92837"/>
    <w:rsid w:val="00BA5D1C"/>
    <w:rsid w:val="00BC0597"/>
    <w:rsid w:val="00BC6D9B"/>
    <w:rsid w:val="00BD3998"/>
    <w:rsid w:val="00BD60DB"/>
    <w:rsid w:val="00BF6B44"/>
    <w:rsid w:val="00C07860"/>
    <w:rsid w:val="00C252E2"/>
    <w:rsid w:val="00C44EBA"/>
    <w:rsid w:val="00C4555C"/>
    <w:rsid w:val="00C47913"/>
    <w:rsid w:val="00C51FD1"/>
    <w:rsid w:val="00C60980"/>
    <w:rsid w:val="00C61C01"/>
    <w:rsid w:val="00C8696C"/>
    <w:rsid w:val="00C86C96"/>
    <w:rsid w:val="00C910E1"/>
    <w:rsid w:val="00C9153A"/>
    <w:rsid w:val="00CA6B76"/>
    <w:rsid w:val="00CD10AE"/>
    <w:rsid w:val="00CD7F25"/>
    <w:rsid w:val="00CF1F02"/>
    <w:rsid w:val="00D0341B"/>
    <w:rsid w:val="00D139B8"/>
    <w:rsid w:val="00D364AD"/>
    <w:rsid w:val="00D404AE"/>
    <w:rsid w:val="00D62F23"/>
    <w:rsid w:val="00D84066"/>
    <w:rsid w:val="00D965D0"/>
    <w:rsid w:val="00D974A7"/>
    <w:rsid w:val="00DA17EE"/>
    <w:rsid w:val="00DA3370"/>
    <w:rsid w:val="00DB32B6"/>
    <w:rsid w:val="00DB542D"/>
    <w:rsid w:val="00DD28D2"/>
    <w:rsid w:val="00DD4964"/>
    <w:rsid w:val="00DD4F64"/>
    <w:rsid w:val="00DE1873"/>
    <w:rsid w:val="00DE331F"/>
    <w:rsid w:val="00DE42C9"/>
    <w:rsid w:val="00DF59EE"/>
    <w:rsid w:val="00DF5FBF"/>
    <w:rsid w:val="00E05502"/>
    <w:rsid w:val="00E11B31"/>
    <w:rsid w:val="00E127C8"/>
    <w:rsid w:val="00E2123C"/>
    <w:rsid w:val="00E34858"/>
    <w:rsid w:val="00E52816"/>
    <w:rsid w:val="00E60035"/>
    <w:rsid w:val="00E6024C"/>
    <w:rsid w:val="00E67642"/>
    <w:rsid w:val="00E75A71"/>
    <w:rsid w:val="00E77354"/>
    <w:rsid w:val="00E87A01"/>
    <w:rsid w:val="00EA0BAB"/>
    <w:rsid w:val="00EB1ED5"/>
    <w:rsid w:val="00EB74D5"/>
    <w:rsid w:val="00ED0C16"/>
    <w:rsid w:val="00ED7394"/>
    <w:rsid w:val="00EE3EDD"/>
    <w:rsid w:val="00EF6101"/>
    <w:rsid w:val="00F409F5"/>
    <w:rsid w:val="00F41251"/>
    <w:rsid w:val="00F45A9B"/>
    <w:rsid w:val="00F47E09"/>
    <w:rsid w:val="00F60D31"/>
    <w:rsid w:val="00F61D16"/>
    <w:rsid w:val="00F8587C"/>
    <w:rsid w:val="00F8701D"/>
    <w:rsid w:val="00F90E0F"/>
    <w:rsid w:val="00FA1B29"/>
    <w:rsid w:val="00FA7A28"/>
    <w:rsid w:val="00FB4F03"/>
    <w:rsid w:val="00FC3F55"/>
    <w:rsid w:val="00FC5042"/>
    <w:rsid w:val="00FD0F8C"/>
    <w:rsid w:val="00FD25E9"/>
    <w:rsid w:val="00FF3309"/>
    <w:rsid w:val="00FF3557"/>
    <w:rsid w:val="00FF3A69"/>
    <w:rsid w:val="00FF4DA4"/>
    <w:rsid w:val="00FF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CD5963-7D5B-4B5B-8894-B377425E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C05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75BB1"/>
    <w:pPr>
      <w:tabs>
        <w:tab w:val="center" w:pos="4680"/>
        <w:tab w:val="right" w:pos="9360"/>
      </w:tabs>
    </w:pPr>
  </w:style>
  <w:style w:type="character" w:customStyle="1" w:styleId="HeaderChar">
    <w:name w:val="Header Char"/>
    <w:basedOn w:val="DefaultParagraphFont"/>
    <w:link w:val="Header"/>
    <w:uiPriority w:val="99"/>
    <w:semiHidden/>
    <w:locked/>
    <w:rsid w:val="00075BB1"/>
    <w:rPr>
      <w:rFonts w:cs="Times New Roman"/>
      <w:sz w:val="24"/>
      <w:szCs w:val="24"/>
    </w:rPr>
  </w:style>
  <w:style w:type="paragraph" w:styleId="Footer">
    <w:name w:val="footer"/>
    <w:basedOn w:val="Normal"/>
    <w:link w:val="FooterChar"/>
    <w:uiPriority w:val="99"/>
    <w:rsid w:val="00075BB1"/>
    <w:pPr>
      <w:tabs>
        <w:tab w:val="center" w:pos="4680"/>
        <w:tab w:val="right" w:pos="9360"/>
      </w:tabs>
    </w:pPr>
  </w:style>
  <w:style w:type="character" w:customStyle="1" w:styleId="FooterChar">
    <w:name w:val="Footer Char"/>
    <w:basedOn w:val="DefaultParagraphFont"/>
    <w:link w:val="Footer"/>
    <w:uiPriority w:val="99"/>
    <w:locked/>
    <w:rsid w:val="00075BB1"/>
    <w:rPr>
      <w:rFonts w:cs="Times New Roman"/>
      <w:sz w:val="24"/>
      <w:szCs w:val="24"/>
    </w:rPr>
  </w:style>
  <w:style w:type="paragraph" w:styleId="FootnoteText">
    <w:name w:val="footnote text"/>
    <w:basedOn w:val="Normal"/>
    <w:link w:val="FootnoteTextChar"/>
    <w:uiPriority w:val="99"/>
    <w:semiHidden/>
    <w:rsid w:val="0076062E"/>
    <w:rPr>
      <w:sz w:val="20"/>
      <w:szCs w:val="20"/>
    </w:rPr>
  </w:style>
  <w:style w:type="character" w:customStyle="1" w:styleId="FootnoteTextChar">
    <w:name w:val="Footnote Text Char"/>
    <w:basedOn w:val="DefaultParagraphFont"/>
    <w:link w:val="FootnoteText"/>
    <w:uiPriority w:val="99"/>
    <w:semiHidden/>
    <w:locked/>
    <w:rsid w:val="0076062E"/>
    <w:rPr>
      <w:rFonts w:cs="Times New Roman"/>
      <w:sz w:val="20"/>
      <w:szCs w:val="20"/>
    </w:rPr>
  </w:style>
  <w:style w:type="character" w:styleId="FootnoteReference">
    <w:name w:val="footnote reference"/>
    <w:basedOn w:val="DefaultParagraphFont"/>
    <w:uiPriority w:val="99"/>
    <w:semiHidden/>
    <w:rsid w:val="0076062E"/>
    <w:rPr>
      <w:rFonts w:cs="Times New Roman"/>
      <w:vertAlign w:val="superscript"/>
    </w:rPr>
  </w:style>
  <w:style w:type="character" w:styleId="Hyperlink">
    <w:name w:val="Hyperlink"/>
    <w:basedOn w:val="DefaultParagraphFont"/>
    <w:uiPriority w:val="99"/>
    <w:rsid w:val="00B45B7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builditgreen.org/guidelines--checklists/" TargetMode="External"/><Relationship Id="rId2" Type="http://schemas.openxmlformats.org/officeDocument/2006/relationships/hyperlink" Target="http://www.energystar.gov/index.cfm?c=bldrs_lenders_raters.nh_HERS" TargetMode="External"/><Relationship Id="rId1" Type="http://schemas.openxmlformats.org/officeDocument/2006/relationships/hyperlink" Target="http://www.usgbc.org/DisplayPage.aspx?CMSPageID=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3661</Words>
  <Characters>20872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Columbia Law School</Company>
  <LinksUpToDate>false</LinksUpToDate>
  <CharactersWithSpaces>24485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CLS Users</dc:creator>
  <cp:lastModifiedBy>Allison Villegas Roman</cp:lastModifiedBy>
  <cp:revision>2</cp:revision>
  <dcterms:created xsi:type="dcterms:W3CDTF">2016-10-07T20:24:00Z</dcterms:created>
  <dcterms:modified xsi:type="dcterms:W3CDTF">2016-10-07T20:24:00Z</dcterms:modified>
</cp:coreProperties>
</file>